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ABCC" w14:textId="77777777" w:rsidR="00C70106" w:rsidRDefault="00C70106" w:rsidP="00C70106">
      <w:pPr>
        <w:autoSpaceDE w:val="0"/>
        <w:autoSpaceDN w:val="0"/>
        <w:adjustRightInd w:val="0"/>
        <w:jc w:val="center"/>
        <w:rPr>
          <w:rFonts w:ascii="Calibri" w:hAnsi="Calibri" w:cs="Arial"/>
          <w:b/>
          <w:bCs/>
          <w:color w:val="000000"/>
          <w:sz w:val="28"/>
          <w:szCs w:val="28"/>
        </w:rPr>
      </w:pPr>
    </w:p>
    <w:p w14:paraId="632F83C1" w14:textId="77777777" w:rsidR="00C70106" w:rsidRDefault="00C70106" w:rsidP="00C70106">
      <w:pPr>
        <w:autoSpaceDE w:val="0"/>
        <w:autoSpaceDN w:val="0"/>
        <w:adjustRightInd w:val="0"/>
        <w:jc w:val="center"/>
        <w:rPr>
          <w:rFonts w:ascii="Calibri" w:hAnsi="Calibri" w:cs="Arial"/>
          <w:b/>
          <w:bCs/>
          <w:color w:val="000000"/>
          <w:sz w:val="28"/>
          <w:szCs w:val="28"/>
        </w:rPr>
      </w:pPr>
    </w:p>
    <w:p w14:paraId="30DE6A5E" w14:textId="77777777" w:rsidR="00C70106" w:rsidRDefault="00C70106" w:rsidP="00C70106">
      <w:pPr>
        <w:autoSpaceDE w:val="0"/>
        <w:autoSpaceDN w:val="0"/>
        <w:adjustRightInd w:val="0"/>
        <w:jc w:val="center"/>
        <w:rPr>
          <w:rFonts w:ascii="Calibri" w:hAnsi="Calibri" w:cs="Arial"/>
          <w:b/>
          <w:bCs/>
          <w:color w:val="000000"/>
          <w:sz w:val="28"/>
          <w:szCs w:val="28"/>
        </w:rPr>
      </w:pPr>
      <w:r>
        <w:rPr>
          <w:rFonts w:ascii="Calibri" w:hAnsi="Calibri" w:cs="Arial"/>
          <w:b/>
          <w:bCs/>
          <w:noProof/>
          <w:color w:val="000000"/>
          <w:sz w:val="28"/>
          <w:szCs w:val="28"/>
        </w:rPr>
        <w:drawing>
          <wp:inline distT="0" distB="0" distL="0" distR="0" wp14:anchorId="1C5B4C6B" wp14:editId="758F6DC6">
            <wp:extent cx="2411769" cy="2411769"/>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MWBA_LOGO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1769" cy="2411769"/>
                    </a:xfrm>
                    <a:prstGeom prst="rect">
                      <a:avLst/>
                    </a:prstGeom>
                  </pic:spPr>
                </pic:pic>
              </a:graphicData>
            </a:graphic>
          </wp:inline>
        </w:drawing>
      </w:r>
    </w:p>
    <w:p w14:paraId="5FA35729" w14:textId="77777777" w:rsidR="00C70106" w:rsidRDefault="00C70106" w:rsidP="00C70106">
      <w:pPr>
        <w:autoSpaceDE w:val="0"/>
        <w:autoSpaceDN w:val="0"/>
        <w:adjustRightInd w:val="0"/>
        <w:jc w:val="center"/>
        <w:rPr>
          <w:rFonts w:ascii="Calibri" w:hAnsi="Calibri" w:cs="Arial"/>
          <w:b/>
          <w:bCs/>
          <w:color w:val="000000"/>
          <w:sz w:val="28"/>
          <w:szCs w:val="28"/>
        </w:rPr>
      </w:pPr>
    </w:p>
    <w:p w14:paraId="1853B6E2" w14:textId="77777777" w:rsidR="00C70106" w:rsidRDefault="00C70106" w:rsidP="00C70106">
      <w:pPr>
        <w:autoSpaceDE w:val="0"/>
        <w:autoSpaceDN w:val="0"/>
        <w:adjustRightInd w:val="0"/>
        <w:jc w:val="center"/>
        <w:rPr>
          <w:rFonts w:ascii="Calibri" w:hAnsi="Calibri" w:cs="Arial"/>
          <w:b/>
          <w:bCs/>
          <w:color w:val="000000"/>
          <w:sz w:val="28"/>
          <w:szCs w:val="28"/>
        </w:rPr>
      </w:pPr>
    </w:p>
    <w:p w14:paraId="5E9BC0A9" w14:textId="77777777" w:rsidR="00C70106" w:rsidRDefault="00C70106" w:rsidP="00C70106">
      <w:pPr>
        <w:autoSpaceDE w:val="0"/>
        <w:autoSpaceDN w:val="0"/>
        <w:adjustRightInd w:val="0"/>
        <w:jc w:val="center"/>
        <w:rPr>
          <w:rFonts w:ascii="Calibri" w:hAnsi="Calibri" w:cs="Arial"/>
          <w:b/>
          <w:bCs/>
          <w:color w:val="000000"/>
          <w:sz w:val="28"/>
          <w:szCs w:val="28"/>
        </w:rPr>
      </w:pPr>
    </w:p>
    <w:p w14:paraId="183AF4F4" w14:textId="77777777" w:rsidR="00C70106" w:rsidRPr="004E67F6" w:rsidRDefault="005A74B0" w:rsidP="00C70106">
      <w:pPr>
        <w:autoSpaceDE w:val="0"/>
        <w:autoSpaceDN w:val="0"/>
        <w:adjustRightInd w:val="0"/>
        <w:jc w:val="center"/>
        <w:rPr>
          <w:rFonts w:ascii="Calibri" w:hAnsi="Calibri" w:cs="Arial"/>
          <w:b/>
          <w:bCs/>
          <w:color w:val="000000"/>
          <w:sz w:val="72"/>
          <w:szCs w:val="72"/>
        </w:rPr>
      </w:pPr>
      <w:r>
        <w:rPr>
          <w:rFonts w:ascii="Calibri" w:hAnsi="Calibri" w:cs="Arial"/>
          <w:b/>
          <w:bCs/>
          <w:noProof/>
          <w:color w:val="000000"/>
          <w:sz w:val="72"/>
          <w:szCs w:val="72"/>
        </w:rPr>
        <w:drawing>
          <wp:anchor distT="0" distB="0" distL="114300" distR="114300" simplePos="0" relativeHeight="251660288" behindDoc="1" locked="0" layoutInCell="1" allowOverlap="1" wp14:anchorId="1A733B05" wp14:editId="51ABEC7B">
            <wp:simplePos x="0" y="0"/>
            <wp:positionH relativeFrom="column">
              <wp:posOffset>2026143</wp:posOffset>
            </wp:positionH>
            <wp:positionV relativeFrom="paragraph">
              <wp:posOffset>555625</wp:posOffset>
            </wp:positionV>
            <wp:extent cx="1796902" cy="1067360"/>
            <wp:effectExtent l="0" t="0" r="0" b="0"/>
            <wp:wrapNone/>
            <wp:docPr id="5" name="Picture 5" descr="A picture containing people, many, display,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military-se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6902" cy="1067360"/>
                    </a:xfrm>
                    <a:prstGeom prst="rect">
                      <a:avLst/>
                    </a:prstGeom>
                  </pic:spPr>
                </pic:pic>
              </a:graphicData>
            </a:graphic>
            <wp14:sizeRelH relativeFrom="page">
              <wp14:pctWidth>0</wp14:pctWidth>
            </wp14:sizeRelH>
            <wp14:sizeRelV relativeFrom="page">
              <wp14:pctHeight>0</wp14:pctHeight>
            </wp14:sizeRelV>
          </wp:anchor>
        </w:drawing>
      </w:r>
      <w:r w:rsidR="00C70106">
        <w:rPr>
          <w:rFonts w:ascii="Calibri" w:hAnsi="Calibri" w:cs="Arial"/>
          <w:b/>
          <w:bCs/>
          <w:color w:val="000000"/>
          <w:sz w:val="72"/>
          <w:szCs w:val="72"/>
        </w:rPr>
        <w:t>VSBE</w:t>
      </w:r>
      <w:r w:rsidR="00C70106" w:rsidRPr="004E67F6">
        <w:rPr>
          <w:rFonts w:ascii="Calibri" w:hAnsi="Calibri" w:cs="Arial"/>
          <w:b/>
          <w:bCs/>
          <w:color w:val="000000"/>
          <w:sz w:val="72"/>
          <w:szCs w:val="72"/>
        </w:rPr>
        <w:t xml:space="preserve"> REPORTING MANUAL</w:t>
      </w:r>
    </w:p>
    <w:p w14:paraId="28D3FB26" w14:textId="77777777" w:rsidR="00C70106" w:rsidRDefault="00C70106" w:rsidP="00C70106">
      <w:pPr>
        <w:autoSpaceDE w:val="0"/>
        <w:autoSpaceDN w:val="0"/>
        <w:adjustRightInd w:val="0"/>
        <w:jc w:val="center"/>
        <w:rPr>
          <w:rFonts w:ascii="Calibri" w:hAnsi="Calibri" w:cs="Arial"/>
          <w:b/>
          <w:bCs/>
          <w:color w:val="000000"/>
          <w:sz w:val="72"/>
          <w:szCs w:val="72"/>
        </w:rPr>
      </w:pPr>
    </w:p>
    <w:p w14:paraId="6756B7B8" w14:textId="77777777" w:rsidR="00C70106" w:rsidRPr="004E67F6" w:rsidRDefault="00C70106" w:rsidP="00C70106">
      <w:pPr>
        <w:autoSpaceDE w:val="0"/>
        <w:autoSpaceDN w:val="0"/>
        <w:adjustRightInd w:val="0"/>
        <w:jc w:val="center"/>
        <w:rPr>
          <w:rFonts w:ascii="Calibri" w:hAnsi="Calibri" w:cs="Arial"/>
          <w:b/>
          <w:bCs/>
          <w:color w:val="000000"/>
          <w:sz w:val="72"/>
          <w:szCs w:val="72"/>
        </w:rPr>
      </w:pPr>
    </w:p>
    <w:p w14:paraId="04D302A9" w14:textId="77777777" w:rsidR="00C70106" w:rsidRPr="004E67F6" w:rsidRDefault="00C70106" w:rsidP="00C70106">
      <w:pPr>
        <w:autoSpaceDE w:val="0"/>
        <w:autoSpaceDN w:val="0"/>
        <w:adjustRightInd w:val="0"/>
        <w:jc w:val="center"/>
        <w:rPr>
          <w:rFonts w:ascii="Calibri" w:hAnsi="Calibri" w:cs="Arial"/>
          <w:b/>
          <w:bCs/>
          <w:color w:val="000000"/>
          <w:sz w:val="52"/>
          <w:szCs w:val="52"/>
        </w:rPr>
      </w:pPr>
      <w:r>
        <w:rPr>
          <w:rFonts w:ascii="Calibri" w:hAnsi="Calibri" w:cs="Arial"/>
          <w:b/>
          <w:bCs/>
          <w:color w:val="000000"/>
          <w:sz w:val="52"/>
          <w:szCs w:val="52"/>
        </w:rPr>
        <w:t>Prepared by Governor’s Office of Small, Minority &amp; Women Business Affairs</w:t>
      </w:r>
    </w:p>
    <w:p w14:paraId="2E19C7B1" w14:textId="77777777" w:rsidR="00C70106" w:rsidRDefault="00C70106" w:rsidP="00C70106">
      <w:pPr>
        <w:autoSpaceDE w:val="0"/>
        <w:autoSpaceDN w:val="0"/>
        <w:adjustRightInd w:val="0"/>
        <w:jc w:val="center"/>
        <w:rPr>
          <w:rFonts w:ascii="Calibri" w:hAnsi="Calibri" w:cs="Arial"/>
          <w:b/>
          <w:bCs/>
          <w:color w:val="000000"/>
          <w:sz w:val="52"/>
          <w:szCs w:val="52"/>
        </w:rPr>
      </w:pPr>
    </w:p>
    <w:p w14:paraId="2E0E90EB" w14:textId="77777777" w:rsidR="00C70106" w:rsidRDefault="00C70106" w:rsidP="00C70106">
      <w:pPr>
        <w:autoSpaceDE w:val="0"/>
        <w:autoSpaceDN w:val="0"/>
        <w:adjustRightInd w:val="0"/>
        <w:jc w:val="center"/>
        <w:rPr>
          <w:rFonts w:ascii="Calibri" w:hAnsi="Calibri" w:cs="Arial"/>
          <w:b/>
          <w:bCs/>
          <w:color w:val="000000"/>
          <w:sz w:val="52"/>
          <w:szCs w:val="52"/>
        </w:rPr>
      </w:pPr>
    </w:p>
    <w:p w14:paraId="7FDA4303" w14:textId="6DCE087A" w:rsidR="00C70106" w:rsidRPr="00035CBF" w:rsidRDefault="00C70106" w:rsidP="00C70106">
      <w:pPr>
        <w:autoSpaceDE w:val="0"/>
        <w:autoSpaceDN w:val="0"/>
        <w:adjustRightInd w:val="0"/>
        <w:jc w:val="center"/>
        <w:rPr>
          <w:rFonts w:ascii="Calibri" w:hAnsi="Calibri" w:cs="Arial"/>
          <w:b/>
          <w:bCs/>
          <w:color w:val="000000"/>
          <w:sz w:val="28"/>
          <w:szCs w:val="52"/>
        </w:rPr>
      </w:pPr>
      <w:r>
        <w:rPr>
          <w:rFonts w:ascii="Calibri" w:hAnsi="Calibri" w:cs="Arial"/>
          <w:b/>
          <w:bCs/>
          <w:color w:val="000000"/>
          <w:sz w:val="28"/>
          <w:szCs w:val="52"/>
        </w:rPr>
        <w:t>J</w:t>
      </w:r>
      <w:r w:rsidR="00BB57C7">
        <w:rPr>
          <w:rFonts w:ascii="Calibri" w:hAnsi="Calibri" w:cs="Arial"/>
          <w:b/>
          <w:bCs/>
          <w:color w:val="000000"/>
          <w:sz w:val="28"/>
          <w:szCs w:val="52"/>
        </w:rPr>
        <w:t>uly 1</w:t>
      </w:r>
      <w:r>
        <w:rPr>
          <w:rFonts w:ascii="Calibri" w:hAnsi="Calibri" w:cs="Arial"/>
          <w:b/>
          <w:bCs/>
          <w:color w:val="000000"/>
          <w:sz w:val="28"/>
          <w:szCs w:val="52"/>
        </w:rPr>
        <w:t>, 202</w:t>
      </w:r>
      <w:r w:rsidR="00F95E6A">
        <w:rPr>
          <w:rFonts w:ascii="Calibri" w:hAnsi="Calibri" w:cs="Arial"/>
          <w:b/>
          <w:bCs/>
          <w:color w:val="000000"/>
          <w:sz w:val="28"/>
          <w:szCs w:val="52"/>
        </w:rPr>
        <w:t>2</w:t>
      </w:r>
    </w:p>
    <w:p w14:paraId="7349BA68" w14:textId="77777777" w:rsidR="00135439" w:rsidRDefault="00C70106" w:rsidP="0031147F">
      <w:pPr>
        <w:rPr>
          <w:sz w:val="32"/>
          <w:szCs w:val="32"/>
        </w:rPr>
      </w:pPr>
      <w:r w:rsidRPr="0031147F">
        <w:rPr>
          <w:rFonts w:ascii="Calibri" w:hAnsi="Calibri" w:cs="Arial"/>
          <w:b/>
          <w:bCs/>
          <w:color w:val="000000"/>
          <w:sz w:val="36"/>
          <w:szCs w:val="36"/>
        </w:rPr>
        <w:br w:type="page"/>
      </w:r>
      <w:r w:rsidR="00135439" w:rsidRPr="0031147F">
        <w:rPr>
          <w:sz w:val="32"/>
          <w:szCs w:val="32"/>
        </w:rPr>
        <w:lastRenderedPageBreak/>
        <w:t>Table of Contents</w:t>
      </w:r>
    </w:p>
    <w:p w14:paraId="6E810C68" w14:textId="77777777" w:rsidR="0031147F" w:rsidRPr="0031147F" w:rsidRDefault="0031147F" w:rsidP="0031147F">
      <w:pPr>
        <w:rPr>
          <w:rFonts w:ascii="Calibri" w:hAnsi="Calibri" w:cs="Arial"/>
          <w:b/>
          <w:bCs/>
          <w:color w:val="000000"/>
          <w:sz w:val="36"/>
          <w:szCs w:val="36"/>
        </w:rPr>
      </w:pPr>
    </w:p>
    <w:p w14:paraId="73B9CCA3" w14:textId="77777777"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27" w:history="1">
        <w:r w:rsidR="007A0386" w:rsidRPr="007A0386">
          <w:rPr>
            <w:rFonts w:eastAsia="Times New Roman"/>
            <w:b/>
            <w:bCs/>
            <w:noProof/>
            <w:color w:val="0563C1" w:themeColor="hyperlink"/>
            <w:u w:val="single"/>
          </w:rPr>
          <w:t>VSBE Program Overview</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_Toc107407827 \h </w:instrText>
        </w:r>
        <w:r w:rsidR="007A0386" w:rsidRPr="007A0386">
          <w:rPr>
            <w:noProof/>
            <w:webHidden/>
          </w:rPr>
        </w:r>
        <w:r w:rsidR="007A0386" w:rsidRPr="007A0386">
          <w:rPr>
            <w:noProof/>
            <w:webHidden/>
          </w:rPr>
          <w:fldChar w:fldCharType="separate"/>
        </w:r>
        <w:r w:rsidR="007A0386" w:rsidRPr="007A0386">
          <w:rPr>
            <w:noProof/>
            <w:webHidden/>
          </w:rPr>
          <w:t>3</w:t>
        </w:r>
        <w:r w:rsidR="007A0386" w:rsidRPr="007A0386">
          <w:rPr>
            <w:noProof/>
            <w:webHidden/>
          </w:rPr>
          <w:fldChar w:fldCharType="end"/>
        </w:r>
      </w:hyperlink>
    </w:p>
    <w:p w14:paraId="39EC7796" w14:textId="3C492F74"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28" w:history="1">
        <w:r w:rsidR="007A0386" w:rsidRPr="007A0386">
          <w:rPr>
            <w:b/>
            <w:bCs/>
            <w:noProof/>
            <w:color w:val="0563C1" w:themeColor="hyperlink"/>
            <w:u w:val="single"/>
          </w:rPr>
          <w:t>VSBE Liaisons</w:t>
        </w:r>
        <w:r w:rsidR="00AD282D">
          <w:rPr>
            <w:b/>
            <w:bCs/>
            <w:noProof/>
            <w:color w:val="0563C1" w:themeColor="hyperlink"/>
            <w:u w:val="single"/>
          </w:rPr>
          <w:t>-NEW</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_Toc107407828 \h </w:instrText>
        </w:r>
        <w:r w:rsidR="007A0386" w:rsidRPr="007A0386">
          <w:rPr>
            <w:noProof/>
            <w:webHidden/>
          </w:rPr>
        </w:r>
        <w:r w:rsidR="007A0386" w:rsidRPr="007A0386">
          <w:rPr>
            <w:noProof/>
            <w:webHidden/>
          </w:rPr>
          <w:fldChar w:fldCharType="separate"/>
        </w:r>
        <w:r w:rsidR="007A0386" w:rsidRPr="007A0386">
          <w:rPr>
            <w:noProof/>
            <w:webHidden/>
          </w:rPr>
          <w:t>3</w:t>
        </w:r>
        <w:r w:rsidR="007A0386" w:rsidRPr="007A0386">
          <w:rPr>
            <w:noProof/>
            <w:webHidden/>
          </w:rPr>
          <w:fldChar w:fldCharType="end"/>
        </w:r>
      </w:hyperlink>
    </w:p>
    <w:p w14:paraId="3FB47E66" w14:textId="7DB4EC99"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29" w:history="1">
        <w:r w:rsidR="007A0386" w:rsidRPr="007A0386">
          <w:rPr>
            <w:rFonts w:eastAsia="Times New Roman"/>
            <w:b/>
            <w:bCs/>
            <w:noProof/>
            <w:color w:val="0563C1" w:themeColor="hyperlink"/>
            <w:u w:val="single"/>
          </w:rPr>
          <w:t xml:space="preserve">VSBE </w:t>
        </w:r>
        <w:r w:rsidR="000118C0">
          <w:rPr>
            <w:rFonts w:eastAsia="Times New Roman"/>
            <w:b/>
            <w:bCs/>
            <w:noProof/>
            <w:color w:val="0563C1" w:themeColor="hyperlink"/>
            <w:u w:val="single"/>
          </w:rPr>
          <w:t>Internal Compliance</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_Toc107407829 \h </w:instrText>
        </w:r>
        <w:r w:rsidR="007A0386" w:rsidRPr="007A0386">
          <w:rPr>
            <w:noProof/>
            <w:webHidden/>
          </w:rPr>
        </w:r>
        <w:r w:rsidR="007A0386" w:rsidRPr="007A0386">
          <w:rPr>
            <w:noProof/>
            <w:webHidden/>
          </w:rPr>
          <w:fldChar w:fldCharType="separate"/>
        </w:r>
        <w:r w:rsidR="007A0386" w:rsidRPr="007A0386">
          <w:rPr>
            <w:noProof/>
            <w:webHidden/>
          </w:rPr>
          <w:t>3</w:t>
        </w:r>
        <w:r w:rsidR="007A0386" w:rsidRPr="007A0386">
          <w:rPr>
            <w:noProof/>
            <w:webHidden/>
          </w:rPr>
          <w:fldChar w:fldCharType="end"/>
        </w:r>
      </w:hyperlink>
    </w:p>
    <w:p w14:paraId="0A61DEC8" w14:textId="0D60B3DA"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0" w:history="1">
        <w:r w:rsidR="007A0386" w:rsidRPr="007A0386">
          <w:rPr>
            <w:rFonts w:eastAsia="Times New Roman"/>
            <w:b/>
            <w:bCs/>
            <w:noProof/>
            <w:color w:val="0563C1" w:themeColor="hyperlink"/>
            <w:u w:val="single"/>
          </w:rPr>
          <w:t>VSBE Reporting</w:t>
        </w:r>
        <w:r w:rsidR="007A0386" w:rsidRPr="007A0386">
          <w:rPr>
            <w:noProof/>
            <w:webHidden/>
          </w:rPr>
          <w:tab/>
        </w:r>
        <w:r w:rsidR="004E289A">
          <w:rPr>
            <w:noProof/>
            <w:webHidden/>
          </w:rPr>
          <w:t>3</w:t>
        </w:r>
      </w:hyperlink>
    </w:p>
    <w:p w14:paraId="67AC5C52" w14:textId="77777777"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1" w:history="1">
        <w:r w:rsidR="007A0386" w:rsidRPr="007A0386">
          <w:rPr>
            <w:b/>
            <w:bCs/>
            <w:noProof/>
            <w:color w:val="0563C1" w:themeColor="hyperlink"/>
            <w:u w:val="single"/>
          </w:rPr>
          <w:t>VSBE Reporting Format</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_Toc107407831 \h </w:instrText>
        </w:r>
        <w:r w:rsidR="007A0386" w:rsidRPr="007A0386">
          <w:rPr>
            <w:noProof/>
            <w:webHidden/>
          </w:rPr>
        </w:r>
        <w:r w:rsidR="007A0386" w:rsidRPr="007A0386">
          <w:rPr>
            <w:noProof/>
            <w:webHidden/>
          </w:rPr>
          <w:fldChar w:fldCharType="separate"/>
        </w:r>
        <w:r w:rsidR="007A0386" w:rsidRPr="007A0386">
          <w:rPr>
            <w:noProof/>
            <w:webHidden/>
          </w:rPr>
          <w:t>4</w:t>
        </w:r>
        <w:r w:rsidR="007A0386" w:rsidRPr="007A0386">
          <w:rPr>
            <w:noProof/>
            <w:webHidden/>
          </w:rPr>
          <w:fldChar w:fldCharType="end"/>
        </w:r>
      </w:hyperlink>
    </w:p>
    <w:p w14:paraId="5A5EA26F" w14:textId="77777777"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2" w:history="1">
        <w:r w:rsidR="007A0386" w:rsidRPr="007A0386">
          <w:rPr>
            <w:b/>
            <w:bCs/>
            <w:noProof/>
            <w:color w:val="0563C1" w:themeColor="hyperlink"/>
            <w:u w:val="single"/>
          </w:rPr>
          <w:t>VSBE Data Collection</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_Toc107407832 \h </w:instrText>
        </w:r>
        <w:r w:rsidR="007A0386" w:rsidRPr="007A0386">
          <w:rPr>
            <w:noProof/>
            <w:webHidden/>
          </w:rPr>
        </w:r>
        <w:r w:rsidR="007A0386" w:rsidRPr="007A0386">
          <w:rPr>
            <w:noProof/>
            <w:webHidden/>
          </w:rPr>
          <w:fldChar w:fldCharType="separate"/>
        </w:r>
        <w:r w:rsidR="007A0386" w:rsidRPr="007A0386">
          <w:rPr>
            <w:noProof/>
            <w:webHidden/>
          </w:rPr>
          <w:t>5</w:t>
        </w:r>
        <w:r w:rsidR="007A0386" w:rsidRPr="007A0386">
          <w:rPr>
            <w:noProof/>
            <w:webHidden/>
          </w:rPr>
          <w:fldChar w:fldCharType="end"/>
        </w:r>
      </w:hyperlink>
    </w:p>
    <w:p w14:paraId="7B8A64B2" w14:textId="3A6D427C"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3" w:history="1">
        <w:r w:rsidR="007A0386" w:rsidRPr="007A0386">
          <w:rPr>
            <w:b/>
            <w:bCs/>
            <w:noProof/>
            <w:color w:val="0563C1" w:themeColor="hyperlink"/>
            <w:u w:val="single"/>
          </w:rPr>
          <w:t>Backup Data</w:t>
        </w:r>
        <w:r w:rsidR="007A0386" w:rsidRPr="007A0386">
          <w:rPr>
            <w:noProof/>
            <w:webHidden/>
          </w:rPr>
          <w:tab/>
        </w:r>
        <w:r w:rsidR="0099587B">
          <w:rPr>
            <w:noProof/>
            <w:webHidden/>
          </w:rPr>
          <w:t>6</w:t>
        </w:r>
      </w:hyperlink>
    </w:p>
    <w:p w14:paraId="074601D8" w14:textId="77777777"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4" w:history="1">
        <w:r w:rsidR="007A0386" w:rsidRPr="007A0386">
          <w:rPr>
            <w:b/>
            <w:bCs/>
            <w:noProof/>
            <w:color w:val="0563C1" w:themeColor="hyperlink"/>
            <w:u w:val="single"/>
          </w:rPr>
          <w:t>VSBE Annual Report</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_Toc107407834 \h </w:instrText>
        </w:r>
        <w:r w:rsidR="007A0386" w:rsidRPr="007A0386">
          <w:rPr>
            <w:noProof/>
            <w:webHidden/>
          </w:rPr>
        </w:r>
        <w:r w:rsidR="007A0386" w:rsidRPr="007A0386">
          <w:rPr>
            <w:noProof/>
            <w:webHidden/>
          </w:rPr>
          <w:fldChar w:fldCharType="separate"/>
        </w:r>
        <w:r w:rsidR="007A0386" w:rsidRPr="007A0386">
          <w:rPr>
            <w:noProof/>
            <w:webHidden/>
          </w:rPr>
          <w:t>7</w:t>
        </w:r>
        <w:r w:rsidR="007A0386" w:rsidRPr="007A0386">
          <w:rPr>
            <w:noProof/>
            <w:webHidden/>
          </w:rPr>
          <w:fldChar w:fldCharType="end"/>
        </w:r>
      </w:hyperlink>
    </w:p>
    <w:p w14:paraId="23C174A4" w14:textId="77777777" w:rsidR="007A0386" w:rsidRPr="007A0386" w:rsidRDefault="00772C44" w:rsidP="007A0386">
      <w:pPr>
        <w:tabs>
          <w:tab w:val="right" w:leader="dot" w:pos="9350"/>
        </w:tabs>
        <w:spacing w:after="100"/>
        <w:rPr>
          <w:rFonts w:asciiTheme="minorHAnsi" w:eastAsiaTheme="minorEastAsia" w:hAnsiTheme="minorHAnsi" w:cstheme="minorBidi"/>
          <w:noProof/>
          <w:sz w:val="22"/>
          <w:szCs w:val="22"/>
        </w:rPr>
      </w:pPr>
      <w:hyperlink w:anchor="_Toc107407835" w:history="1">
        <w:r w:rsidR="007A0386" w:rsidRPr="007A0386">
          <w:rPr>
            <w:b/>
            <w:bCs/>
            <w:noProof/>
            <w:color w:val="0563C1" w:themeColor="hyperlink"/>
            <w:u w:val="single"/>
          </w:rPr>
          <w:t>Contact Emails</w:t>
        </w:r>
        <w:r w:rsidR="007A0386" w:rsidRPr="007A0386">
          <w:rPr>
            <w:noProof/>
            <w:webHidden/>
          </w:rPr>
          <w:tab/>
        </w:r>
        <w:r w:rsidR="007A0386" w:rsidRPr="007A0386">
          <w:rPr>
            <w:noProof/>
            <w:webHidden/>
          </w:rPr>
          <w:fldChar w:fldCharType="begin"/>
        </w:r>
        <w:r w:rsidR="007A0386" w:rsidRPr="007A0386">
          <w:rPr>
            <w:noProof/>
            <w:webHidden/>
          </w:rPr>
          <w:instrText xml:space="preserve"> PAGEREF _Toc107407835 \h </w:instrText>
        </w:r>
        <w:r w:rsidR="007A0386" w:rsidRPr="007A0386">
          <w:rPr>
            <w:noProof/>
            <w:webHidden/>
          </w:rPr>
        </w:r>
        <w:r w:rsidR="007A0386" w:rsidRPr="007A0386">
          <w:rPr>
            <w:noProof/>
            <w:webHidden/>
          </w:rPr>
          <w:fldChar w:fldCharType="separate"/>
        </w:r>
        <w:r w:rsidR="007A0386" w:rsidRPr="007A0386">
          <w:rPr>
            <w:noProof/>
            <w:webHidden/>
          </w:rPr>
          <w:t>8</w:t>
        </w:r>
        <w:r w:rsidR="007A0386" w:rsidRPr="007A0386">
          <w:rPr>
            <w:noProof/>
            <w:webHidden/>
          </w:rPr>
          <w:fldChar w:fldCharType="end"/>
        </w:r>
      </w:hyperlink>
    </w:p>
    <w:p w14:paraId="7B371E90" w14:textId="077E843A" w:rsidR="00135439" w:rsidRDefault="00135439" w:rsidP="007A0386">
      <w:pPr>
        <w:pStyle w:val="TOC1"/>
        <w:tabs>
          <w:tab w:val="right" w:leader="dot" w:pos="9350"/>
        </w:tabs>
        <w:rPr>
          <w:rFonts w:ascii="Calibri" w:hAnsi="Calibri" w:cs="Arial"/>
          <w:b/>
          <w:bCs/>
          <w:color w:val="000000"/>
          <w:sz w:val="28"/>
          <w:szCs w:val="28"/>
        </w:rPr>
      </w:pPr>
      <w:r>
        <w:rPr>
          <w:rFonts w:ascii="Calibri" w:hAnsi="Calibri" w:cs="Arial"/>
          <w:b/>
          <w:bCs/>
          <w:color w:val="000000"/>
          <w:sz w:val="28"/>
          <w:szCs w:val="28"/>
        </w:rPr>
        <w:fldChar w:fldCharType="begin"/>
      </w:r>
      <w:r>
        <w:rPr>
          <w:rFonts w:ascii="Calibri" w:hAnsi="Calibri" w:cs="Arial"/>
          <w:b/>
          <w:bCs/>
          <w:color w:val="000000"/>
          <w:sz w:val="28"/>
          <w:szCs w:val="28"/>
        </w:rPr>
        <w:instrText xml:space="preserve"> TOC \o "1-1" \h \z \u </w:instrText>
      </w:r>
      <w:r w:rsidR="00772C44">
        <w:rPr>
          <w:rFonts w:ascii="Calibri" w:hAnsi="Calibri" w:cs="Arial"/>
          <w:b/>
          <w:bCs/>
          <w:color w:val="000000"/>
          <w:sz w:val="28"/>
          <w:szCs w:val="28"/>
        </w:rPr>
        <w:fldChar w:fldCharType="separate"/>
      </w:r>
      <w:r>
        <w:rPr>
          <w:rFonts w:ascii="Calibri" w:hAnsi="Calibri" w:cs="Arial"/>
          <w:b/>
          <w:bCs/>
          <w:color w:val="000000"/>
          <w:sz w:val="28"/>
          <w:szCs w:val="28"/>
        </w:rPr>
        <w:fldChar w:fldCharType="end"/>
      </w:r>
    </w:p>
    <w:p w14:paraId="0C9C8515" w14:textId="77777777" w:rsidR="00135439" w:rsidRDefault="00135439" w:rsidP="00C70106">
      <w:pPr>
        <w:rPr>
          <w:rFonts w:ascii="Calibri" w:hAnsi="Calibri" w:cs="Arial"/>
          <w:b/>
          <w:bCs/>
          <w:color w:val="000000"/>
          <w:sz w:val="28"/>
          <w:szCs w:val="28"/>
        </w:rPr>
      </w:pPr>
    </w:p>
    <w:p w14:paraId="6BAA3963" w14:textId="77777777" w:rsidR="00135439" w:rsidRDefault="00135439" w:rsidP="00C70106">
      <w:pPr>
        <w:rPr>
          <w:rFonts w:ascii="Calibri" w:hAnsi="Calibri" w:cs="Arial"/>
          <w:b/>
          <w:bCs/>
          <w:color w:val="000000"/>
          <w:sz w:val="28"/>
          <w:szCs w:val="28"/>
        </w:rPr>
      </w:pPr>
    </w:p>
    <w:p w14:paraId="7C688518" w14:textId="77777777" w:rsidR="00135439" w:rsidRDefault="00135439" w:rsidP="00C70106">
      <w:pPr>
        <w:rPr>
          <w:rFonts w:ascii="Calibri" w:hAnsi="Calibri" w:cs="Arial"/>
          <w:b/>
          <w:bCs/>
          <w:color w:val="000000"/>
          <w:sz w:val="28"/>
          <w:szCs w:val="28"/>
        </w:rPr>
      </w:pPr>
    </w:p>
    <w:p w14:paraId="50C6ECEB" w14:textId="77777777" w:rsidR="00135439" w:rsidRDefault="00135439" w:rsidP="00C70106">
      <w:pPr>
        <w:rPr>
          <w:rFonts w:ascii="Calibri" w:hAnsi="Calibri" w:cs="Arial"/>
          <w:b/>
          <w:bCs/>
          <w:color w:val="000000"/>
          <w:sz w:val="28"/>
          <w:szCs w:val="28"/>
        </w:rPr>
      </w:pPr>
    </w:p>
    <w:p w14:paraId="7A7BCF4E" w14:textId="77777777" w:rsidR="00135439" w:rsidRDefault="00135439" w:rsidP="00C70106">
      <w:pPr>
        <w:rPr>
          <w:rFonts w:ascii="Calibri" w:hAnsi="Calibri" w:cs="Arial"/>
          <w:b/>
          <w:bCs/>
          <w:color w:val="000000"/>
          <w:sz w:val="28"/>
          <w:szCs w:val="28"/>
        </w:rPr>
      </w:pPr>
    </w:p>
    <w:p w14:paraId="7ACCDEAA" w14:textId="77777777" w:rsidR="00135439" w:rsidRDefault="00135439" w:rsidP="00C70106">
      <w:pPr>
        <w:rPr>
          <w:rFonts w:ascii="Calibri" w:hAnsi="Calibri" w:cs="Arial"/>
          <w:b/>
          <w:bCs/>
          <w:color w:val="000000"/>
          <w:sz w:val="28"/>
          <w:szCs w:val="28"/>
        </w:rPr>
      </w:pPr>
    </w:p>
    <w:p w14:paraId="20871F5D" w14:textId="77777777" w:rsidR="00135439" w:rsidRDefault="00135439" w:rsidP="00C70106">
      <w:pPr>
        <w:rPr>
          <w:rFonts w:ascii="Calibri" w:hAnsi="Calibri" w:cs="Arial"/>
          <w:b/>
          <w:bCs/>
          <w:color w:val="000000"/>
          <w:sz w:val="28"/>
          <w:szCs w:val="28"/>
        </w:rPr>
      </w:pPr>
    </w:p>
    <w:p w14:paraId="7ACAF325" w14:textId="77777777" w:rsidR="00135439" w:rsidRDefault="00135439" w:rsidP="00C70106">
      <w:pPr>
        <w:rPr>
          <w:rFonts w:ascii="Calibri" w:hAnsi="Calibri" w:cs="Arial"/>
          <w:b/>
          <w:bCs/>
          <w:color w:val="000000"/>
          <w:sz w:val="28"/>
          <w:szCs w:val="28"/>
        </w:rPr>
      </w:pPr>
    </w:p>
    <w:p w14:paraId="56DED3C4" w14:textId="77777777" w:rsidR="00135439" w:rsidRDefault="00135439" w:rsidP="00C70106">
      <w:pPr>
        <w:rPr>
          <w:rFonts w:ascii="Calibri" w:hAnsi="Calibri" w:cs="Arial"/>
          <w:b/>
          <w:bCs/>
          <w:color w:val="000000"/>
          <w:sz w:val="28"/>
          <w:szCs w:val="28"/>
        </w:rPr>
      </w:pPr>
    </w:p>
    <w:p w14:paraId="3D6EF3D3" w14:textId="77777777" w:rsidR="00135439" w:rsidRDefault="00135439" w:rsidP="00C70106">
      <w:pPr>
        <w:rPr>
          <w:rFonts w:ascii="Calibri" w:hAnsi="Calibri" w:cs="Arial"/>
          <w:b/>
          <w:bCs/>
          <w:color w:val="000000"/>
          <w:sz w:val="28"/>
          <w:szCs w:val="28"/>
        </w:rPr>
      </w:pPr>
    </w:p>
    <w:p w14:paraId="648CB586" w14:textId="77777777" w:rsidR="00135439" w:rsidRDefault="00135439" w:rsidP="00C70106">
      <w:pPr>
        <w:rPr>
          <w:rFonts w:ascii="Calibri" w:hAnsi="Calibri" w:cs="Arial"/>
          <w:b/>
          <w:bCs/>
          <w:color w:val="000000"/>
          <w:sz w:val="28"/>
          <w:szCs w:val="28"/>
        </w:rPr>
      </w:pPr>
    </w:p>
    <w:p w14:paraId="051CC7A6" w14:textId="77777777" w:rsidR="00135439" w:rsidRDefault="00135439" w:rsidP="00C70106">
      <w:pPr>
        <w:rPr>
          <w:rFonts w:ascii="Calibri" w:hAnsi="Calibri" w:cs="Arial"/>
          <w:b/>
          <w:bCs/>
          <w:color w:val="000000"/>
          <w:sz w:val="28"/>
          <w:szCs w:val="28"/>
        </w:rPr>
      </w:pPr>
    </w:p>
    <w:p w14:paraId="3C23E959" w14:textId="77777777" w:rsidR="00135439" w:rsidRDefault="00135439" w:rsidP="00C70106">
      <w:pPr>
        <w:rPr>
          <w:rFonts w:ascii="Calibri" w:hAnsi="Calibri" w:cs="Arial"/>
          <w:b/>
          <w:bCs/>
          <w:color w:val="000000"/>
          <w:sz w:val="28"/>
          <w:szCs w:val="28"/>
        </w:rPr>
      </w:pPr>
    </w:p>
    <w:p w14:paraId="48BBBE18" w14:textId="77777777" w:rsidR="00135439" w:rsidRDefault="00135439" w:rsidP="00C70106">
      <w:pPr>
        <w:rPr>
          <w:rFonts w:ascii="Calibri" w:hAnsi="Calibri" w:cs="Arial"/>
          <w:b/>
          <w:bCs/>
          <w:color w:val="000000"/>
          <w:sz w:val="28"/>
          <w:szCs w:val="28"/>
        </w:rPr>
      </w:pPr>
    </w:p>
    <w:p w14:paraId="6578727D" w14:textId="77777777" w:rsidR="00135439" w:rsidRDefault="00135439" w:rsidP="00C70106">
      <w:pPr>
        <w:rPr>
          <w:rFonts w:ascii="Calibri" w:hAnsi="Calibri" w:cs="Arial"/>
          <w:b/>
          <w:bCs/>
          <w:color w:val="000000"/>
          <w:sz w:val="28"/>
          <w:szCs w:val="28"/>
        </w:rPr>
      </w:pPr>
    </w:p>
    <w:p w14:paraId="58CD0218" w14:textId="77777777" w:rsidR="00135439" w:rsidRDefault="00135439" w:rsidP="00C70106">
      <w:pPr>
        <w:rPr>
          <w:rFonts w:ascii="Calibri" w:hAnsi="Calibri" w:cs="Arial"/>
          <w:b/>
          <w:bCs/>
          <w:color w:val="000000"/>
          <w:sz w:val="28"/>
          <w:szCs w:val="28"/>
        </w:rPr>
      </w:pPr>
    </w:p>
    <w:p w14:paraId="4BD64702" w14:textId="77777777" w:rsidR="00135439" w:rsidRDefault="00135439" w:rsidP="00C70106">
      <w:pPr>
        <w:rPr>
          <w:rFonts w:ascii="Calibri" w:hAnsi="Calibri" w:cs="Arial"/>
          <w:b/>
          <w:bCs/>
          <w:color w:val="000000"/>
          <w:sz w:val="28"/>
          <w:szCs w:val="28"/>
        </w:rPr>
      </w:pPr>
    </w:p>
    <w:p w14:paraId="766EEDF7" w14:textId="77777777" w:rsidR="00135439" w:rsidRDefault="00135439" w:rsidP="00C70106">
      <w:pPr>
        <w:rPr>
          <w:rFonts w:ascii="Calibri" w:hAnsi="Calibri" w:cs="Arial"/>
          <w:b/>
          <w:bCs/>
          <w:color w:val="000000"/>
          <w:sz w:val="28"/>
          <w:szCs w:val="28"/>
        </w:rPr>
      </w:pPr>
    </w:p>
    <w:p w14:paraId="18AC1F8F" w14:textId="77777777" w:rsidR="00135439" w:rsidRDefault="00135439" w:rsidP="00C70106">
      <w:pPr>
        <w:rPr>
          <w:rFonts w:ascii="Calibri" w:hAnsi="Calibri" w:cs="Arial"/>
          <w:b/>
          <w:bCs/>
          <w:color w:val="000000"/>
          <w:sz w:val="28"/>
          <w:szCs w:val="28"/>
        </w:rPr>
      </w:pPr>
    </w:p>
    <w:p w14:paraId="1E436A1F" w14:textId="77777777" w:rsidR="00135439" w:rsidRDefault="00135439" w:rsidP="00C70106">
      <w:pPr>
        <w:rPr>
          <w:rFonts w:ascii="Calibri" w:hAnsi="Calibri" w:cs="Arial"/>
          <w:b/>
          <w:bCs/>
          <w:color w:val="000000"/>
          <w:sz w:val="28"/>
          <w:szCs w:val="28"/>
        </w:rPr>
      </w:pPr>
    </w:p>
    <w:p w14:paraId="1B4AF171" w14:textId="77777777" w:rsidR="00135439" w:rsidRDefault="00135439" w:rsidP="00C70106">
      <w:pPr>
        <w:rPr>
          <w:rFonts w:ascii="Calibri" w:hAnsi="Calibri" w:cs="Arial"/>
          <w:b/>
          <w:bCs/>
          <w:color w:val="000000"/>
          <w:sz w:val="28"/>
          <w:szCs w:val="28"/>
        </w:rPr>
      </w:pPr>
    </w:p>
    <w:p w14:paraId="251D4F26" w14:textId="77777777" w:rsidR="00135439" w:rsidRDefault="00135439" w:rsidP="00C70106">
      <w:pPr>
        <w:rPr>
          <w:rFonts w:ascii="Calibri" w:hAnsi="Calibri" w:cs="Arial"/>
          <w:b/>
          <w:bCs/>
          <w:color w:val="000000"/>
          <w:sz w:val="28"/>
          <w:szCs w:val="28"/>
        </w:rPr>
      </w:pPr>
    </w:p>
    <w:p w14:paraId="70722923" w14:textId="77777777" w:rsidR="00135439" w:rsidRDefault="00135439" w:rsidP="00C70106">
      <w:pPr>
        <w:rPr>
          <w:rFonts w:ascii="Calibri" w:hAnsi="Calibri" w:cs="Arial"/>
          <w:b/>
          <w:bCs/>
          <w:color w:val="000000"/>
          <w:sz w:val="28"/>
          <w:szCs w:val="28"/>
        </w:rPr>
      </w:pPr>
    </w:p>
    <w:p w14:paraId="03E2CD66" w14:textId="77777777" w:rsidR="00135439" w:rsidRDefault="00135439" w:rsidP="00C70106"/>
    <w:p w14:paraId="2EEE6DE4" w14:textId="77777777" w:rsidR="000E6187" w:rsidRDefault="000E6187" w:rsidP="000E6187">
      <w:pPr>
        <w:pStyle w:val="Heading1"/>
        <w:numPr>
          <w:ilvl w:val="0"/>
          <w:numId w:val="0"/>
        </w:numPr>
        <w:rPr>
          <w:rFonts w:eastAsia="Times New Roman"/>
          <w:b/>
          <w:bCs/>
          <w:color w:val="auto"/>
        </w:rPr>
      </w:pPr>
      <w:bookmarkStart w:id="0" w:name="_Toc44518535"/>
      <w:r>
        <w:rPr>
          <w:rFonts w:eastAsia="Times New Roman"/>
          <w:b/>
          <w:bCs/>
          <w:color w:val="auto"/>
        </w:rPr>
        <w:lastRenderedPageBreak/>
        <w:t>VSBE Program</w:t>
      </w:r>
      <w:r w:rsidR="00DF1E27">
        <w:rPr>
          <w:rFonts w:eastAsia="Times New Roman"/>
          <w:b/>
          <w:bCs/>
          <w:color w:val="auto"/>
        </w:rPr>
        <w:t xml:space="preserve"> Overview</w:t>
      </w:r>
      <w:bookmarkEnd w:id="0"/>
    </w:p>
    <w:p w14:paraId="0BFA8146" w14:textId="77777777" w:rsidR="000E6187" w:rsidRDefault="000E6187" w:rsidP="000E6187"/>
    <w:p w14:paraId="7B57D292" w14:textId="1187B1E1" w:rsidR="000E6187" w:rsidRDefault="000E6187" w:rsidP="005551B6">
      <w:r>
        <w:t xml:space="preserve">The Veteran-Owned Small Business Enterprise (VSBE) Program, enacted in 2010, requires State agencies to </w:t>
      </w:r>
      <w:r w:rsidR="00BB57C7" w:rsidRPr="00D10740">
        <w:t xml:space="preserve">spend </w:t>
      </w:r>
      <w:r w:rsidRPr="00C655E0">
        <w:t>a minimum of 1%</w:t>
      </w:r>
      <w:r>
        <w:t xml:space="preserve"> of the total dollar value of agency procurement contracts directly or indirectly </w:t>
      </w:r>
      <w:r w:rsidR="00BB57C7">
        <w:t>with</w:t>
      </w:r>
      <w:r>
        <w:t xml:space="preserve"> veteran-owned small businesses (State Finance &amp; Procurement Article, §14-206, Annotated Code of Maryland). V</w:t>
      </w:r>
      <w:r w:rsidR="00C655E0">
        <w:t>eteran business</w:t>
      </w:r>
      <w:r>
        <w:t xml:space="preserve"> </w:t>
      </w:r>
      <w:r w:rsidR="00C655E0">
        <w:t xml:space="preserve">ownership </w:t>
      </w:r>
      <w:r>
        <w:t>sta</w:t>
      </w:r>
      <w:r w:rsidR="00C655E0">
        <w:t>tus</w:t>
      </w:r>
      <w:r>
        <w:t xml:space="preserve"> is determined by size standards adopted by the United States Small Business Administration in 13</w:t>
      </w:r>
      <w:r w:rsidR="005551B6">
        <w:t xml:space="preserve"> </w:t>
      </w:r>
      <w:r>
        <w:t>C.F.R. 121.201 and whether at least 51% of the</w:t>
      </w:r>
      <w:r w:rsidR="00C655E0">
        <w:t xml:space="preserve"> for-profit</w:t>
      </w:r>
      <w:r w:rsidR="000B38FD">
        <w:t xml:space="preserve"> </w:t>
      </w:r>
      <w:r>
        <w:t>business is owned by one or more individuals</w:t>
      </w:r>
      <w:r w:rsidR="005551B6">
        <w:t xml:space="preserve"> </w:t>
      </w:r>
      <w:r>
        <w:t>who are veterans that control the management and daily operations of the business</w:t>
      </w:r>
      <w:r w:rsidR="005551B6">
        <w:t xml:space="preserve"> (§14-601 and added §14-606, State Finance &amp;</w:t>
      </w:r>
      <w:r w:rsidR="00C655E0">
        <w:t xml:space="preserve"> </w:t>
      </w:r>
      <w:r w:rsidR="005551B6">
        <w:t>Procurement Article, Annotated Code of Maryland)</w:t>
      </w:r>
      <w:r>
        <w:t>.</w:t>
      </w:r>
    </w:p>
    <w:p w14:paraId="73362B17" w14:textId="77777777" w:rsidR="005551B6" w:rsidRDefault="005551B6" w:rsidP="000E6187"/>
    <w:p w14:paraId="001FFB88" w14:textId="1DBFBFDC" w:rsidR="00BB57C7" w:rsidRDefault="00BB57C7" w:rsidP="000E6187">
      <w:r>
        <w:t>Effective October 1, 2018, legislative action assigned oversight of the VSBE Program to the Governor’s Office of Small, Minority &amp; Women Business Affairs</w:t>
      </w:r>
      <w:r w:rsidR="00D364F2">
        <w:t xml:space="preserve"> (GOSBA)</w:t>
      </w:r>
      <w:r w:rsidR="00B517CC">
        <w:t xml:space="preserve"> </w:t>
      </w:r>
      <w:r w:rsidR="00B517CC">
        <w:rPr>
          <w:rFonts w:eastAsia="Times New Roman"/>
        </w:rPr>
        <w:t>(COMAR 21.11.1</w:t>
      </w:r>
      <w:r w:rsidR="00175931">
        <w:rPr>
          <w:rFonts w:eastAsia="Times New Roman"/>
        </w:rPr>
        <w:t>4</w:t>
      </w:r>
      <w:r w:rsidR="00B517CC">
        <w:rPr>
          <w:rFonts w:eastAsia="Times New Roman"/>
        </w:rPr>
        <w:t>.04 d).</w:t>
      </w:r>
      <w:r w:rsidR="00B517CC">
        <w:t xml:space="preserve"> </w:t>
      </w:r>
      <w:r>
        <w:t xml:space="preserve">Participating agencies and departments are now required to submit </w:t>
      </w:r>
      <w:r w:rsidR="00B517CC">
        <w:t xml:space="preserve">annual </w:t>
      </w:r>
      <w:r>
        <w:t>performance data to GOSBA.</w:t>
      </w:r>
    </w:p>
    <w:p w14:paraId="660152B7" w14:textId="77777777" w:rsidR="00BB57C7" w:rsidRDefault="00BB57C7" w:rsidP="000E6187"/>
    <w:p w14:paraId="27B55C7D" w14:textId="5E1B26EE" w:rsidR="003806FC" w:rsidRPr="004E289A" w:rsidRDefault="003806FC" w:rsidP="003806FC">
      <w:pPr>
        <w:pStyle w:val="Heading1"/>
        <w:numPr>
          <w:ilvl w:val="0"/>
          <w:numId w:val="0"/>
        </w:numPr>
        <w:rPr>
          <w:b/>
          <w:bCs/>
          <w:i/>
          <w:iCs/>
          <w:color w:val="auto"/>
        </w:rPr>
      </w:pPr>
      <w:bookmarkStart w:id="1" w:name="_Hlk107561982"/>
      <w:r w:rsidRPr="004E289A">
        <w:rPr>
          <w:b/>
          <w:bCs/>
          <w:i/>
          <w:iCs/>
          <w:color w:val="auto"/>
        </w:rPr>
        <w:t>VSBE Liaisons</w:t>
      </w:r>
      <w:r w:rsidR="00B871EF" w:rsidRPr="004E289A">
        <w:rPr>
          <w:b/>
          <w:bCs/>
          <w:i/>
          <w:iCs/>
          <w:color w:val="auto"/>
        </w:rPr>
        <w:t xml:space="preserve"> - NEW</w:t>
      </w:r>
    </w:p>
    <w:bookmarkEnd w:id="1"/>
    <w:p w14:paraId="47883D1B" w14:textId="77777777" w:rsidR="009824D6" w:rsidRPr="00D10740" w:rsidRDefault="009824D6" w:rsidP="009824D6">
      <w:pPr>
        <w:rPr>
          <w:b/>
          <w:bCs/>
        </w:rPr>
      </w:pPr>
    </w:p>
    <w:p w14:paraId="4D1608E4" w14:textId="30C5028F" w:rsidR="003806FC" w:rsidRPr="00B8014C" w:rsidRDefault="003806FC" w:rsidP="003806FC">
      <w:r w:rsidRPr="00B8014C">
        <w:t>Each participating agency/department is required to name a VSBE liaison officer in the administrations of the agency’s VSBE Program.</w:t>
      </w:r>
      <w:r w:rsidR="009824D6" w:rsidRPr="00B8014C">
        <w:t xml:space="preserve"> The VSBE liaison officer is responsible for coordinating outreach efforts to the veteran business community, reviewing agency contracting procedures to ensure compliance, assisting in the resolution of contracting issues, and for submitting required VSBE Program reports or information.</w:t>
      </w:r>
      <w:r w:rsidRPr="00B8014C">
        <w:t xml:space="preserve"> (COMAR 21.11.14.05).</w:t>
      </w:r>
    </w:p>
    <w:p w14:paraId="6BB00E54" w14:textId="77777777" w:rsidR="00DF1E27" w:rsidRPr="000E6187" w:rsidRDefault="00DF1E27" w:rsidP="000E6187"/>
    <w:p w14:paraId="01CE47BA" w14:textId="169D1F89" w:rsidR="004E289A" w:rsidRPr="004E289A" w:rsidRDefault="004E289A" w:rsidP="004E289A">
      <w:pPr>
        <w:pStyle w:val="Heading1"/>
        <w:numPr>
          <w:ilvl w:val="0"/>
          <w:numId w:val="0"/>
        </w:numPr>
        <w:rPr>
          <w:b/>
          <w:bCs/>
          <w:i/>
          <w:iCs/>
          <w:color w:val="auto"/>
        </w:rPr>
      </w:pPr>
      <w:r w:rsidRPr="004E289A">
        <w:rPr>
          <w:b/>
          <w:bCs/>
          <w:i/>
          <w:iCs/>
          <w:color w:val="auto"/>
        </w:rPr>
        <w:t xml:space="preserve">VSBE </w:t>
      </w:r>
      <w:r w:rsidRPr="004E289A">
        <w:rPr>
          <w:b/>
          <w:bCs/>
          <w:i/>
          <w:iCs/>
          <w:color w:val="auto"/>
        </w:rPr>
        <w:t>Internal Compliance</w:t>
      </w:r>
    </w:p>
    <w:p w14:paraId="0815D3A6" w14:textId="77777777" w:rsidR="000E6187" w:rsidRDefault="000E6187" w:rsidP="000E6187">
      <w:pPr>
        <w:rPr>
          <w:rFonts w:eastAsia="Times New Roman"/>
        </w:rPr>
      </w:pPr>
    </w:p>
    <w:p w14:paraId="2B16D143" w14:textId="1739F2D5" w:rsidR="00D10740" w:rsidRPr="0099587B" w:rsidRDefault="00D364F2" w:rsidP="0099587B">
      <w:pPr>
        <w:rPr>
          <w:rFonts w:eastAsia="Times New Roman"/>
        </w:rPr>
      </w:pPr>
      <w:r>
        <w:rPr>
          <w:rFonts w:eastAsia="Times New Roman"/>
        </w:rPr>
        <w:t xml:space="preserve">The contract owner should monitor and track </w:t>
      </w:r>
      <w:r w:rsidR="000E6187">
        <w:rPr>
          <w:rFonts w:eastAsia="Times New Roman"/>
        </w:rPr>
        <w:t xml:space="preserve">VSBE </w:t>
      </w:r>
      <w:r>
        <w:rPr>
          <w:rFonts w:eastAsia="Times New Roman"/>
        </w:rPr>
        <w:t>c</w:t>
      </w:r>
      <w:r w:rsidR="000E6187">
        <w:rPr>
          <w:rFonts w:eastAsia="Times New Roman"/>
        </w:rPr>
        <w:t>ompliance on a monthly or quarterly basis</w:t>
      </w:r>
      <w:r>
        <w:rPr>
          <w:rFonts w:eastAsia="Times New Roman"/>
        </w:rPr>
        <w:t>,</w:t>
      </w:r>
      <w:r w:rsidR="000E6187">
        <w:rPr>
          <w:rFonts w:eastAsia="Times New Roman"/>
        </w:rPr>
        <w:t xml:space="preserve"> and individual contract utilization should proceed in accordance with the Utilization Affidavit and Participation Schedule submitted when the contract was awarded (COMAR </w:t>
      </w:r>
      <w:r w:rsidR="000E6187" w:rsidRPr="00D50488">
        <w:rPr>
          <w:rFonts w:eastAsia="Times New Roman"/>
        </w:rPr>
        <w:t>21.11.1</w:t>
      </w:r>
      <w:r w:rsidR="00175931">
        <w:rPr>
          <w:rFonts w:eastAsia="Times New Roman"/>
        </w:rPr>
        <w:t>4</w:t>
      </w:r>
      <w:r w:rsidR="000E6187" w:rsidRPr="00D50488">
        <w:rPr>
          <w:rFonts w:eastAsia="Times New Roman"/>
        </w:rPr>
        <w:t>.0</w:t>
      </w:r>
      <w:r w:rsidR="000E6187">
        <w:rPr>
          <w:rFonts w:eastAsia="Times New Roman"/>
        </w:rPr>
        <w:t xml:space="preserve">6 &amp; COMAR </w:t>
      </w:r>
      <w:r w:rsidR="000E6187" w:rsidRPr="00D50488">
        <w:rPr>
          <w:rFonts w:eastAsia="Times New Roman"/>
        </w:rPr>
        <w:t>21.11.1</w:t>
      </w:r>
      <w:r w:rsidR="00175931">
        <w:rPr>
          <w:rFonts w:eastAsia="Times New Roman"/>
        </w:rPr>
        <w:t>4</w:t>
      </w:r>
      <w:r w:rsidR="000E6187" w:rsidRPr="00D50488">
        <w:rPr>
          <w:rFonts w:eastAsia="Times New Roman"/>
        </w:rPr>
        <w:t>.</w:t>
      </w:r>
      <w:r w:rsidR="00B10B2A">
        <w:rPr>
          <w:rFonts w:eastAsia="Times New Roman"/>
        </w:rPr>
        <w:t>11</w:t>
      </w:r>
      <w:r w:rsidR="000E6187">
        <w:rPr>
          <w:rFonts w:eastAsia="Times New Roman"/>
        </w:rPr>
        <w:t xml:space="preserve">). </w:t>
      </w:r>
      <w:r>
        <w:rPr>
          <w:rFonts w:eastAsia="Times New Roman"/>
        </w:rPr>
        <w:t>Internal c</w:t>
      </w:r>
      <w:r w:rsidR="000E6187">
        <w:rPr>
          <w:rFonts w:eastAsia="Times New Roman"/>
        </w:rPr>
        <w:t>ompliance data does not have to be submitted to GOSBA unless requested.</w:t>
      </w:r>
      <w:bookmarkStart w:id="2" w:name="_Toc44518537"/>
    </w:p>
    <w:p w14:paraId="38754F5F" w14:textId="77777777" w:rsidR="008E5F82" w:rsidRDefault="008E5F82" w:rsidP="00135439">
      <w:pPr>
        <w:pStyle w:val="Heading1"/>
        <w:numPr>
          <w:ilvl w:val="0"/>
          <w:numId w:val="0"/>
        </w:numPr>
        <w:rPr>
          <w:rFonts w:eastAsia="Times New Roman"/>
          <w:b/>
          <w:bCs/>
          <w:color w:val="auto"/>
        </w:rPr>
      </w:pPr>
    </w:p>
    <w:p w14:paraId="22911BD7" w14:textId="55B2690F" w:rsidR="00C70106" w:rsidRPr="009E35A8" w:rsidRDefault="00E45BF4" w:rsidP="00135439">
      <w:pPr>
        <w:pStyle w:val="Heading1"/>
        <w:numPr>
          <w:ilvl w:val="0"/>
          <w:numId w:val="0"/>
        </w:numPr>
        <w:rPr>
          <w:rFonts w:eastAsia="Times New Roman"/>
          <w:b/>
          <w:bCs/>
          <w:color w:val="auto"/>
        </w:rPr>
      </w:pPr>
      <w:r w:rsidRPr="009E35A8">
        <w:rPr>
          <w:rFonts w:eastAsia="Times New Roman"/>
          <w:b/>
          <w:bCs/>
          <w:color w:val="auto"/>
        </w:rPr>
        <w:t>VSBE Reporting</w:t>
      </w:r>
      <w:bookmarkEnd w:id="2"/>
    </w:p>
    <w:p w14:paraId="33E5C945" w14:textId="77777777" w:rsidR="00E45BF4" w:rsidRPr="00E45BF4" w:rsidRDefault="00E45BF4">
      <w:pPr>
        <w:rPr>
          <w:rFonts w:eastAsia="Times New Roman"/>
          <w:b/>
          <w:bCs/>
        </w:rPr>
      </w:pPr>
    </w:p>
    <w:p w14:paraId="16B058A4" w14:textId="049899CC" w:rsidR="00222632" w:rsidRPr="001E74BE" w:rsidRDefault="00222632" w:rsidP="00222632">
      <w:pPr>
        <w:spacing w:after="6" w:line="248" w:lineRule="auto"/>
        <w:ind w:left="-5" w:right="222" w:hanging="10"/>
        <w:rPr>
          <w:rFonts w:eastAsia="Times New Roman"/>
          <w:color w:val="000000"/>
          <w:szCs w:val="22"/>
        </w:rPr>
      </w:pPr>
      <w:r w:rsidRPr="001E74BE">
        <w:rPr>
          <w:rFonts w:eastAsia="Times New Roman"/>
          <w:color w:val="000000"/>
          <w:szCs w:val="22"/>
        </w:rPr>
        <w:t xml:space="preserve">All </w:t>
      </w:r>
      <w:r w:rsidR="001E74BE">
        <w:rPr>
          <w:rFonts w:eastAsia="Times New Roman"/>
          <w:color w:val="000000"/>
          <w:szCs w:val="22"/>
        </w:rPr>
        <w:t xml:space="preserve">participating </w:t>
      </w:r>
      <w:r w:rsidRPr="001E74BE">
        <w:rPr>
          <w:rFonts w:eastAsia="Times New Roman"/>
          <w:color w:val="000000"/>
          <w:szCs w:val="22"/>
        </w:rPr>
        <w:t xml:space="preserve">agencies are </w:t>
      </w:r>
      <w:r w:rsidR="001E74BE" w:rsidRPr="001E74BE">
        <w:rPr>
          <w:rFonts w:eastAsia="Times New Roman"/>
          <w:color w:val="000000"/>
          <w:szCs w:val="22"/>
        </w:rPr>
        <w:t>required</w:t>
      </w:r>
      <w:r w:rsidRPr="001E74BE">
        <w:rPr>
          <w:rFonts w:eastAsia="Times New Roman"/>
          <w:color w:val="000000"/>
          <w:szCs w:val="22"/>
        </w:rPr>
        <w:t xml:space="preserve"> to submit their individual VSBE Reports to the GOSBA on or before the close of business on </w:t>
      </w:r>
      <w:r w:rsidRPr="001E74BE">
        <w:rPr>
          <w:rFonts w:eastAsia="Times New Roman"/>
          <w:color w:val="000000"/>
          <w:szCs w:val="22"/>
          <w:u w:val="single"/>
        </w:rPr>
        <w:t>October 1, 2022</w:t>
      </w:r>
      <w:r w:rsidRPr="001E74BE">
        <w:rPr>
          <w:rFonts w:eastAsia="Times New Roman"/>
          <w:color w:val="000000"/>
          <w:szCs w:val="22"/>
        </w:rPr>
        <w:t xml:space="preserve"> </w:t>
      </w:r>
      <w:r w:rsidRPr="001E74BE">
        <w:rPr>
          <w:rFonts w:eastAsia="Times New Roman"/>
        </w:rPr>
        <w:t>(COMAR 21.13.01.15)</w:t>
      </w:r>
      <w:r w:rsidR="00CF3800">
        <w:rPr>
          <w:rFonts w:eastAsia="Times New Roman"/>
        </w:rPr>
        <w:t>.</w:t>
      </w:r>
    </w:p>
    <w:p w14:paraId="1CFED184" w14:textId="77777777" w:rsidR="008D00B5" w:rsidRDefault="008D00B5" w:rsidP="00AB589A">
      <w:pPr>
        <w:rPr>
          <w:rFonts w:eastAsia="Times New Roman"/>
          <w:highlight w:val="yellow"/>
        </w:rPr>
      </w:pPr>
    </w:p>
    <w:p w14:paraId="1C658BCE" w14:textId="77777777" w:rsidR="008D00B5" w:rsidRDefault="008D00B5" w:rsidP="00AB589A">
      <w:pPr>
        <w:rPr>
          <w:rFonts w:eastAsia="Times New Roman"/>
          <w:highlight w:val="yellow"/>
        </w:rPr>
      </w:pPr>
    </w:p>
    <w:p w14:paraId="1C329F01" w14:textId="2E9AED3A" w:rsidR="00425EA3" w:rsidRPr="004E289A" w:rsidRDefault="00AB589A">
      <w:pPr>
        <w:rPr>
          <w:rFonts w:eastAsia="Times New Roman"/>
        </w:rPr>
      </w:pPr>
      <w:r w:rsidRPr="00C93F32">
        <w:rPr>
          <w:rFonts w:eastAsia="Times New Roman"/>
        </w:rPr>
        <w:t xml:space="preserve">Data collection methods, data exclusions, and other pertinent information </w:t>
      </w:r>
      <w:r w:rsidR="00CF3800">
        <w:rPr>
          <w:rFonts w:eastAsia="Times New Roman"/>
        </w:rPr>
        <w:t>for reporting VSBE data</w:t>
      </w:r>
      <w:r w:rsidRPr="00C93F32">
        <w:rPr>
          <w:rFonts w:eastAsia="Times New Roman"/>
        </w:rPr>
        <w:t xml:space="preserve"> </w:t>
      </w:r>
      <w:r w:rsidR="003D13E7">
        <w:rPr>
          <w:rFonts w:eastAsia="Times New Roman"/>
        </w:rPr>
        <w:t>are consistent with</w:t>
      </w:r>
      <w:r w:rsidRPr="00C93F32">
        <w:rPr>
          <w:rFonts w:eastAsia="Times New Roman"/>
        </w:rPr>
        <w:t xml:space="preserve"> th</w:t>
      </w:r>
      <w:r w:rsidR="003D13E7">
        <w:rPr>
          <w:rFonts w:eastAsia="Times New Roman"/>
        </w:rPr>
        <w:t>ose provided in the</w:t>
      </w:r>
      <w:r w:rsidRPr="00C93F32">
        <w:rPr>
          <w:rFonts w:eastAsia="Times New Roman"/>
        </w:rPr>
        <w:t xml:space="preserve"> MBE Reporting Manual</w:t>
      </w:r>
      <w:r w:rsidR="003D13E7">
        <w:rPr>
          <w:rFonts w:eastAsia="Times New Roman"/>
        </w:rPr>
        <w:t xml:space="preserve"> (</w:t>
      </w:r>
      <w:r w:rsidRPr="00C93F32">
        <w:rPr>
          <w:rFonts w:eastAsia="Times New Roman"/>
        </w:rPr>
        <w:t xml:space="preserve">Delegated Contracts: </w:t>
      </w:r>
      <w:r w:rsidR="003641DE" w:rsidRPr="00C93F32">
        <w:rPr>
          <w:rFonts w:eastAsia="Times New Roman"/>
        </w:rPr>
        <w:t>Page</w:t>
      </w:r>
      <w:r w:rsidRPr="00C93F32">
        <w:rPr>
          <w:rFonts w:eastAsia="Times New Roman"/>
        </w:rPr>
        <w:t xml:space="preserve"> 6</w:t>
      </w:r>
      <w:r w:rsidR="003D13E7">
        <w:rPr>
          <w:rFonts w:eastAsia="Times New Roman"/>
        </w:rPr>
        <w:t>).</w:t>
      </w:r>
    </w:p>
    <w:p w14:paraId="64218BD0" w14:textId="77777777" w:rsidR="00266FEE" w:rsidRDefault="00266FEE" w:rsidP="00266FEE">
      <w:pPr>
        <w:rPr>
          <w:rFonts w:eastAsia="Times New Roman"/>
        </w:rPr>
      </w:pPr>
      <w:r>
        <w:rPr>
          <w:rFonts w:eastAsia="Times New Roman"/>
        </w:rPr>
        <w:lastRenderedPageBreak/>
        <w:t>This report manual may be used as a guideline in preparing the VSBE Report:</w:t>
      </w:r>
    </w:p>
    <w:p w14:paraId="75FD88DA" w14:textId="77777777" w:rsidR="00C70106" w:rsidRDefault="00C70106"/>
    <w:p w14:paraId="1A780F6E" w14:textId="5B2E42B7" w:rsidR="00C70106" w:rsidRPr="006354D6" w:rsidRDefault="001D337F" w:rsidP="006354D6">
      <w:pPr>
        <w:pStyle w:val="ListParagraph"/>
        <w:numPr>
          <w:ilvl w:val="0"/>
          <w:numId w:val="4"/>
        </w:numPr>
      </w:pPr>
      <w:r w:rsidRPr="006354D6">
        <w:t>Data from the 700 series reports from ANSWERS</w:t>
      </w:r>
      <w:r w:rsidR="00B517CC">
        <w:t>,</w:t>
      </w:r>
      <w:r w:rsidRPr="006354D6">
        <w:t xml:space="preserve"> or captured in an internal database</w:t>
      </w:r>
      <w:r w:rsidR="00B517CC">
        <w:t>,</w:t>
      </w:r>
      <w:r w:rsidRPr="006354D6">
        <w:t xml:space="preserve"> should be used to report both award and payment data on the VSBE Annual Report.</w:t>
      </w:r>
    </w:p>
    <w:p w14:paraId="0AF4A8BC" w14:textId="77777777" w:rsidR="001D337F" w:rsidRPr="006354D6" w:rsidRDefault="001D337F" w:rsidP="006354D6">
      <w:pPr>
        <w:rPr>
          <w:sz w:val="20"/>
          <w:szCs w:val="20"/>
        </w:rPr>
      </w:pPr>
    </w:p>
    <w:p w14:paraId="66F9E97E" w14:textId="77777777" w:rsidR="001D337F" w:rsidRPr="006354D6" w:rsidRDefault="001D337F" w:rsidP="006354D6">
      <w:pPr>
        <w:pStyle w:val="ListParagraph"/>
        <w:numPr>
          <w:ilvl w:val="0"/>
          <w:numId w:val="4"/>
        </w:numPr>
      </w:pPr>
      <w:r w:rsidRPr="006354D6">
        <w:t>All figures reported on the annual report should be backed up with auditable data.</w:t>
      </w:r>
    </w:p>
    <w:p w14:paraId="1C7F85A1" w14:textId="77777777" w:rsidR="001D337F" w:rsidRPr="006354D6" w:rsidRDefault="001D337F" w:rsidP="006354D6">
      <w:pPr>
        <w:rPr>
          <w:sz w:val="20"/>
          <w:szCs w:val="20"/>
        </w:rPr>
      </w:pPr>
    </w:p>
    <w:p w14:paraId="322EA722" w14:textId="1ED7F9F1" w:rsidR="006354D6" w:rsidRPr="00B12785" w:rsidRDefault="001D337F" w:rsidP="00B12785">
      <w:pPr>
        <w:pStyle w:val="ListParagraph"/>
        <w:numPr>
          <w:ilvl w:val="0"/>
          <w:numId w:val="4"/>
        </w:numPr>
        <w:rPr>
          <w:sz w:val="20"/>
          <w:szCs w:val="20"/>
        </w:rPr>
      </w:pPr>
      <w:r w:rsidRPr="006354D6">
        <w:t xml:space="preserve">If contracts have both a VSBE </w:t>
      </w:r>
      <w:r w:rsidR="00B517CC">
        <w:t>p</w:t>
      </w:r>
      <w:r w:rsidRPr="006354D6">
        <w:t xml:space="preserve">rime and </w:t>
      </w:r>
      <w:r w:rsidR="00B517CC">
        <w:t>s</w:t>
      </w:r>
      <w:r w:rsidRPr="006354D6">
        <w:t xml:space="preserve">ubcontractor, </w:t>
      </w:r>
      <w:r w:rsidRPr="00B12785">
        <w:rPr>
          <w:b/>
          <w:bCs/>
          <w:i/>
          <w:iCs/>
        </w:rPr>
        <w:t>do not double count</w:t>
      </w:r>
      <w:r w:rsidRPr="006354D6">
        <w:t xml:space="preserve">. Report the VSBE award </w:t>
      </w:r>
      <w:r w:rsidR="00B12785">
        <w:t xml:space="preserve">and payment </w:t>
      </w:r>
      <w:r w:rsidRPr="006354D6">
        <w:t xml:space="preserve">under the </w:t>
      </w:r>
      <w:r w:rsidR="00B517CC">
        <w:t>p</w:t>
      </w:r>
      <w:r w:rsidRPr="006354D6">
        <w:t xml:space="preserve">rime </w:t>
      </w:r>
      <w:r w:rsidR="00B517CC">
        <w:t>c</w:t>
      </w:r>
      <w:r w:rsidRPr="006354D6">
        <w:t>ontractor only</w:t>
      </w:r>
    </w:p>
    <w:p w14:paraId="1A1709FE" w14:textId="77777777" w:rsidR="00B12785" w:rsidRPr="00B12785" w:rsidRDefault="00B12785" w:rsidP="00B12785">
      <w:pPr>
        <w:pStyle w:val="ListParagraph"/>
        <w:rPr>
          <w:sz w:val="20"/>
          <w:szCs w:val="20"/>
        </w:rPr>
      </w:pPr>
    </w:p>
    <w:p w14:paraId="42CE8AD5" w14:textId="77777777" w:rsidR="006354D6" w:rsidRPr="006354D6" w:rsidRDefault="006354D6" w:rsidP="006354D6">
      <w:pPr>
        <w:pStyle w:val="ListParagraph"/>
        <w:numPr>
          <w:ilvl w:val="0"/>
          <w:numId w:val="4"/>
        </w:numPr>
      </w:pPr>
      <w:r w:rsidRPr="006354D6">
        <w:t xml:space="preserve">At this time, </w:t>
      </w:r>
      <w:r w:rsidR="001D1104">
        <w:t xml:space="preserve">VSBE </w:t>
      </w:r>
      <w:r w:rsidRPr="006354D6">
        <w:t>credit card payments cannot be tracked in ANSWERS. Agencies will have to track these payments manually.</w:t>
      </w:r>
    </w:p>
    <w:p w14:paraId="08B0F229" w14:textId="77777777" w:rsidR="006354D6" w:rsidRPr="006354D6" w:rsidRDefault="006354D6" w:rsidP="006354D6">
      <w:pPr>
        <w:rPr>
          <w:sz w:val="20"/>
          <w:szCs w:val="20"/>
        </w:rPr>
      </w:pPr>
    </w:p>
    <w:p w14:paraId="0746CE23" w14:textId="19A8E173" w:rsidR="006354D6" w:rsidRPr="006354D6" w:rsidRDefault="006354D6" w:rsidP="006354D6">
      <w:pPr>
        <w:pStyle w:val="ListParagraph"/>
        <w:numPr>
          <w:ilvl w:val="0"/>
          <w:numId w:val="4"/>
        </w:numPr>
      </w:pPr>
      <w:r w:rsidRPr="006354D6">
        <w:t xml:space="preserve">GOSBA will provide technical assistance and support for VSBE </w:t>
      </w:r>
      <w:r w:rsidR="00B517CC">
        <w:t>r</w:t>
      </w:r>
      <w:r w:rsidRPr="006354D6">
        <w:t xml:space="preserve">eporting. Contact </w:t>
      </w:r>
      <w:hyperlink r:id="rId12" w:history="1">
        <w:r w:rsidR="00425EA3" w:rsidRPr="00CE1E44">
          <w:rPr>
            <w:rStyle w:val="Hyperlink"/>
          </w:rPr>
          <w:t>danielle.davis2@maryland.gov</w:t>
        </w:r>
      </w:hyperlink>
      <w:r w:rsidRPr="006354D6">
        <w:t xml:space="preserve"> or call 4</w:t>
      </w:r>
      <w:r w:rsidR="00425EA3">
        <w:t>43.346.0717</w:t>
      </w:r>
      <w:r w:rsidRPr="006354D6">
        <w:t xml:space="preserve"> if assistance is needed. </w:t>
      </w:r>
    </w:p>
    <w:p w14:paraId="425ED3E1" w14:textId="77777777" w:rsidR="006354D6" w:rsidRDefault="006354D6" w:rsidP="006354D6">
      <w:pPr>
        <w:pStyle w:val="ListParagraph"/>
      </w:pPr>
    </w:p>
    <w:p w14:paraId="4AF33D4C" w14:textId="77777777" w:rsidR="00C70106" w:rsidRDefault="00C70106"/>
    <w:p w14:paraId="70836F4A" w14:textId="77777777" w:rsidR="006354D6" w:rsidRPr="009E35A8" w:rsidRDefault="006354D6" w:rsidP="00135439">
      <w:pPr>
        <w:pStyle w:val="Heading1"/>
        <w:numPr>
          <w:ilvl w:val="0"/>
          <w:numId w:val="0"/>
        </w:numPr>
        <w:rPr>
          <w:b/>
          <w:bCs/>
          <w:color w:val="auto"/>
        </w:rPr>
      </w:pPr>
      <w:bookmarkStart w:id="3" w:name="_Toc44518538"/>
      <w:r w:rsidRPr="009E35A8">
        <w:rPr>
          <w:b/>
          <w:bCs/>
          <w:color w:val="auto"/>
        </w:rPr>
        <w:t>VSBE Reporting Format</w:t>
      </w:r>
      <w:bookmarkEnd w:id="3"/>
    </w:p>
    <w:p w14:paraId="7D514C2F" w14:textId="77777777" w:rsidR="006354D6" w:rsidRDefault="006354D6"/>
    <w:p w14:paraId="32E4B344" w14:textId="4DA3FAB8" w:rsidR="006354D6" w:rsidRDefault="001D1104" w:rsidP="001173F6">
      <w:pPr>
        <w:pStyle w:val="ListParagraph"/>
        <w:numPr>
          <w:ilvl w:val="0"/>
          <w:numId w:val="5"/>
        </w:numPr>
      </w:pPr>
      <w:r>
        <w:t xml:space="preserve">The latest </w:t>
      </w:r>
      <w:r w:rsidR="006354D6">
        <w:t xml:space="preserve">VSBE </w:t>
      </w:r>
      <w:r w:rsidR="00972AB8">
        <w:t xml:space="preserve">Annual </w:t>
      </w:r>
      <w:r w:rsidR="006354D6">
        <w:t>Report Template will be available from GOSBA beginning July 1</w:t>
      </w:r>
      <w:r w:rsidR="006354D6" w:rsidRPr="001173F6">
        <w:rPr>
          <w:vertAlign w:val="superscript"/>
        </w:rPr>
        <w:t>st</w:t>
      </w:r>
      <w:r w:rsidR="006354D6">
        <w:t>.  Only the latest template should be used to submit the VSBE Annual Report.  This ensures that any changes are captured.</w:t>
      </w:r>
    </w:p>
    <w:p w14:paraId="0ABE0BDA" w14:textId="77777777" w:rsidR="006354D6" w:rsidRDefault="006354D6"/>
    <w:p w14:paraId="37D95CFF" w14:textId="047A325F" w:rsidR="00C70106" w:rsidRDefault="006354D6" w:rsidP="001173F6">
      <w:pPr>
        <w:pStyle w:val="ListParagraph"/>
        <w:numPr>
          <w:ilvl w:val="0"/>
          <w:numId w:val="5"/>
        </w:numPr>
      </w:pPr>
      <w:r>
        <w:t>The VSBE template should be submitted in Excel Format.</w:t>
      </w:r>
      <w:r w:rsidR="001173F6">
        <w:t xml:space="preserve"> Questions concerning the template should be submitted to </w:t>
      </w:r>
      <w:hyperlink r:id="rId13" w:history="1">
        <w:r w:rsidR="00425EA3" w:rsidRPr="00CE1E44">
          <w:rPr>
            <w:rStyle w:val="Hyperlink"/>
          </w:rPr>
          <w:t>danielle.davis2@maryland.gov</w:t>
        </w:r>
      </w:hyperlink>
      <w:r w:rsidR="001173F6">
        <w:t>.</w:t>
      </w:r>
    </w:p>
    <w:p w14:paraId="7E05BCEC" w14:textId="77777777" w:rsidR="00425EA3" w:rsidRDefault="00425EA3" w:rsidP="00425EA3">
      <w:pPr>
        <w:pStyle w:val="ListParagraph"/>
      </w:pPr>
    </w:p>
    <w:p w14:paraId="691CE0AE" w14:textId="3195B18F" w:rsidR="00CA00C6" w:rsidRPr="00D10740" w:rsidRDefault="00425EA3" w:rsidP="001173F6">
      <w:pPr>
        <w:pStyle w:val="ListParagraph"/>
        <w:numPr>
          <w:ilvl w:val="0"/>
          <w:numId w:val="5"/>
        </w:numPr>
        <w:rPr>
          <w:b/>
          <w:bCs/>
        </w:rPr>
      </w:pPr>
      <w:r w:rsidRPr="00E10606">
        <w:t>All supporting</w:t>
      </w:r>
      <w:r w:rsidR="00CA00C6" w:rsidRPr="00E10606">
        <w:t xml:space="preserve"> backup</w:t>
      </w:r>
      <w:r w:rsidRPr="00E10606">
        <w:t xml:space="preserve"> d</w:t>
      </w:r>
      <w:r w:rsidR="001D1943" w:rsidRPr="00E10606">
        <w:t>ata</w:t>
      </w:r>
      <w:r w:rsidRPr="00E10606">
        <w:t xml:space="preserve"> should </w:t>
      </w:r>
      <w:r w:rsidR="00CA00C6" w:rsidRPr="00E10606">
        <w:t xml:space="preserve">be emailed to </w:t>
      </w:r>
      <w:hyperlink r:id="rId14" w:history="1">
        <w:r w:rsidR="00CA00C6" w:rsidRPr="00E10606">
          <w:rPr>
            <w:rStyle w:val="Hyperlink"/>
          </w:rPr>
          <w:t>vsbereports.gosba@maryland.gov</w:t>
        </w:r>
      </w:hyperlink>
      <w:r w:rsidR="00CA00C6" w:rsidRPr="00D10740">
        <w:rPr>
          <w:b/>
          <w:bCs/>
        </w:rPr>
        <w:t>.</w:t>
      </w:r>
    </w:p>
    <w:p w14:paraId="7F1A5B12" w14:textId="77777777" w:rsidR="00CA00C6" w:rsidRDefault="00CA00C6" w:rsidP="00CA00C6">
      <w:pPr>
        <w:pStyle w:val="ListParagraph"/>
      </w:pPr>
    </w:p>
    <w:p w14:paraId="5EEB2560" w14:textId="77007F34" w:rsidR="00425EA3" w:rsidRDefault="00CA00C6" w:rsidP="00CA00C6">
      <w:r>
        <w:t xml:space="preserve"> </w:t>
      </w:r>
    </w:p>
    <w:p w14:paraId="08815BE9" w14:textId="5E79318C" w:rsidR="001173F6" w:rsidRDefault="00B517CC">
      <w:r>
        <w:t>GOSBA</w:t>
      </w:r>
      <w:r w:rsidR="00ED2AEA">
        <w:t xml:space="preserve"> will submit </w:t>
      </w:r>
      <w:r w:rsidR="009B4A99">
        <w:t xml:space="preserve">a </w:t>
      </w:r>
      <w:r w:rsidR="00ED2AEA">
        <w:t xml:space="preserve">compiled VSBE Annual Report </w:t>
      </w:r>
      <w:r w:rsidR="009B4A99">
        <w:t xml:space="preserve">for publication </w:t>
      </w:r>
      <w:r w:rsidR="004A0ED2">
        <w:t>to the Governor</w:t>
      </w:r>
      <w:r w:rsidR="000E6187">
        <w:t xml:space="preserve"> and</w:t>
      </w:r>
      <w:r w:rsidR="004A0ED2">
        <w:t xml:space="preserve"> the </w:t>
      </w:r>
      <w:r w:rsidR="000E6187">
        <w:t>L</w:t>
      </w:r>
      <w:r w:rsidR="004A0ED2">
        <w:t>egislative Policy Committee.</w:t>
      </w:r>
      <w:r w:rsidR="001D1943">
        <w:t xml:space="preserve"> </w:t>
      </w:r>
      <w:r w:rsidR="001D1943" w:rsidRPr="00D10740">
        <w:rPr>
          <w:b/>
          <w:bCs/>
        </w:rPr>
        <w:t xml:space="preserve">If your agency does not comply, </w:t>
      </w:r>
      <w:r w:rsidR="00C01626">
        <w:rPr>
          <w:b/>
          <w:bCs/>
        </w:rPr>
        <w:t>it is reported as “non-responsive</w:t>
      </w:r>
      <w:r w:rsidR="003D13E7">
        <w:rPr>
          <w:b/>
          <w:bCs/>
        </w:rPr>
        <w:t>.</w:t>
      </w:r>
      <w:r w:rsidR="00C01626">
        <w:rPr>
          <w:b/>
          <w:bCs/>
        </w:rPr>
        <w:t>”</w:t>
      </w:r>
      <w:r w:rsidR="001D1943">
        <w:t xml:space="preserve"> </w:t>
      </w:r>
    </w:p>
    <w:p w14:paraId="355B6E09" w14:textId="088BA676" w:rsidR="003D13E7" w:rsidRDefault="003D13E7" w:rsidP="00135439">
      <w:pPr>
        <w:pStyle w:val="Heading1"/>
        <w:numPr>
          <w:ilvl w:val="0"/>
          <w:numId w:val="0"/>
        </w:numPr>
        <w:rPr>
          <w:b/>
          <w:bCs/>
          <w:color w:val="auto"/>
        </w:rPr>
      </w:pPr>
      <w:bookmarkStart w:id="4" w:name="_Toc44518539"/>
    </w:p>
    <w:p w14:paraId="707DAEEB" w14:textId="20AC541A" w:rsidR="004E289A" w:rsidRDefault="004E289A" w:rsidP="004E289A"/>
    <w:p w14:paraId="69323538" w14:textId="463083C1" w:rsidR="004E289A" w:rsidRPr="004E289A" w:rsidRDefault="004E289A" w:rsidP="004E289A">
      <w:pPr>
        <w:spacing w:after="160" w:line="259" w:lineRule="auto"/>
      </w:pPr>
      <w:r>
        <w:br w:type="page"/>
      </w:r>
    </w:p>
    <w:p w14:paraId="1D5269CD" w14:textId="6A77A6F1" w:rsidR="009B4A99" w:rsidRPr="009E35A8" w:rsidRDefault="009B4A99" w:rsidP="00135439">
      <w:pPr>
        <w:pStyle w:val="Heading1"/>
        <w:numPr>
          <w:ilvl w:val="0"/>
          <w:numId w:val="0"/>
        </w:numPr>
        <w:rPr>
          <w:b/>
          <w:bCs/>
          <w:color w:val="auto"/>
        </w:rPr>
      </w:pPr>
      <w:r w:rsidRPr="009E35A8">
        <w:rPr>
          <w:b/>
          <w:bCs/>
          <w:color w:val="auto"/>
        </w:rPr>
        <w:lastRenderedPageBreak/>
        <w:t>VSBE Data Collection</w:t>
      </w:r>
      <w:bookmarkEnd w:id="4"/>
    </w:p>
    <w:p w14:paraId="7DB1A314" w14:textId="77777777" w:rsidR="00AB589A" w:rsidRDefault="00AB589A"/>
    <w:p w14:paraId="727C0655" w14:textId="6A6EAD9C" w:rsidR="00330766" w:rsidRDefault="009B4A99">
      <w:r>
        <w:t xml:space="preserve">Agencies will use the following reports to collect </w:t>
      </w:r>
      <w:r w:rsidRPr="00CA00C6">
        <w:rPr>
          <w:b/>
          <w:bCs/>
        </w:rPr>
        <w:t>AWARD</w:t>
      </w:r>
      <w:r w:rsidR="00156968" w:rsidRPr="00CA00C6">
        <w:rPr>
          <w:b/>
          <w:bCs/>
        </w:rPr>
        <w:t xml:space="preserve"> and PAYMENT</w:t>
      </w:r>
      <w:r>
        <w:t xml:space="preserve"> data from ANSWERS (</w:t>
      </w:r>
      <w:hyperlink r:id="rId15" w:history="1">
        <w:r w:rsidR="00156968" w:rsidRPr="00844E45">
          <w:rPr>
            <w:rStyle w:val="Hyperlink"/>
          </w:rPr>
          <w:t>https://net.md.gov/apps/answers/</w:t>
        </w:r>
      </w:hyperlink>
      <w:r w:rsidR="00156968">
        <w:t xml:space="preserve">): </w:t>
      </w:r>
    </w:p>
    <w:p w14:paraId="318BAA4B" w14:textId="122DE7C6" w:rsidR="00330766" w:rsidRDefault="00330766">
      <w:r>
        <w:rPr>
          <w:noProof/>
        </w:rPr>
        <w:drawing>
          <wp:inline distT="0" distB="0" distL="0" distR="0" wp14:anchorId="062149F6" wp14:editId="7734DC99">
            <wp:extent cx="5943600" cy="2908935"/>
            <wp:effectExtent l="0" t="0" r="0" b="5715"/>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pic:nvPicPr>
                  <pic:blipFill>
                    <a:blip r:embed="rId16"/>
                    <a:stretch>
                      <a:fillRect/>
                    </a:stretch>
                  </pic:blipFill>
                  <pic:spPr>
                    <a:xfrm>
                      <a:off x="0" y="0"/>
                      <a:ext cx="5943600" cy="2908935"/>
                    </a:xfrm>
                    <a:prstGeom prst="rect">
                      <a:avLst/>
                    </a:prstGeom>
                  </pic:spPr>
                </pic:pic>
              </a:graphicData>
            </a:graphic>
          </wp:inline>
        </w:drawing>
      </w:r>
    </w:p>
    <w:p w14:paraId="7A9F8AFE" w14:textId="77777777" w:rsidR="00330766" w:rsidRDefault="00330766"/>
    <w:p w14:paraId="411FDC35" w14:textId="0E3A218B" w:rsidR="001173F6" w:rsidRDefault="009B4A99" w:rsidP="009B4A99">
      <w:r w:rsidRPr="009B4A99">
        <w:rPr>
          <w:noProof/>
        </w:rPr>
        <w:drawing>
          <wp:anchor distT="0" distB="0" distL="114300" distR="114300" simplePos="0" relativeHeight="251657216" behindDoc="0" locked="0" layoutInCell="1" allowOverlap="1" wp14:anchorId="7FAEDAA3" wp14:editId="7206A51C">
            <wp:simplePos x="0" y="0"/>
            <wp:positionH relativeFrom="column">
              <wp:posOffset>2516505</wp:posOffset>
            </wp:positionH>
            <wp:positionV relativeFrom="paragraph">
              <wp:posOffset>4625</wp:posOffset>
            </wp:positionV>
            <wp:extent cx="981075" cy="19939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81075" cy="199390"/>
                    </a:xfrm>
                    <a:prstGeom prst="rect">
                      <a:avLst/>
                    </a:prstGeom>
                  </pic:spPr>
                </pic:pic>
              </a:graphicData>
            </a:graphic>
            <wp14:sizeRelH relativeFrom="page">
              <wp14:pctWidth>0</wp14:pctWidth>
            </wp14:sizeRelH>
            <wp14:sizeRelV relativeFrom="page">
              <wp14:pctHeight>0</wp14:pctHeight>
            </wp14:sizeRelV>
          </wp:anchor>
        </w:drawing>
      </w:r>
      <w:r>
        <w:t>You will have to change</w:t>
      </w:r>
      <w:r w:rsidRPr="009B4A99">
        <w:rPr>
          <w:noProof/>
        </w:rPr>
        <w:t xml:space="preserve"> </w:t>
      </w:r>
      <w:r>
        <w:t xml:space="preserve">the Report type                            to VET in answers, </w:t>
      </w:r>
      <w:r w:rsidRPr="007D6198">
        <w:rPr>
          <w:u w:val="single"/>
        </w:rPr>
        <w:t>where appropriate</w:t>
      </w:r>
      <w:r>
        <w:t>.</w:t>
      </w:r>
    </w:p>
    <w:p w14:paraId="7E4FB96A" w14:textId="77777777" w:rsidR="006354D6" w:rsidRDefault="006354D6"/>
    <w:p w14:paraId="53890161" w14:textId="77777777" w:rsidR="00156968" w:rsidRDefault="00156968">
      <w:pPr>
        <w:rPr>
          <w:b/>
          <w:bCs/>
        </w:rPr>
      </w:pPr>
      <w:r w:rsidRPr="00156968">
        <w:rPr>
          <w:b/>
          <w:bCs/>
        </w:rPr>
        <w:t>AWARDS:</w:t>
      </w:r>
    </w:p>
    <w:p w14:paraId="4A06D967" w14:textId="77777777" w:rsidR="00156968" w:rsidRPr="00156968" w:rsidRDefault="00156968">
      <w:pPr>
        <w:rPr>
          <w:b/>
          <w:bCs/>
        </w:rPr>
      </w:pPr>
    </w:p>
    <w:p w14:paraId="03CF253B" w14:textId="77777777" w:rsidR="009B4A99" w:rsidRDefault="009B4A99" w:rsidP="009B4A99">
      <w:r>
        <w:t>a)</w:t>
      </w:r>
      <w:r>
        <w:tab/>
        <w:t>PCHL709 (BPO/PO Change Orders from contracts awarded in prior fiscal years)</w:t>
      </w:r>
    </w:p>
    <w:p w14:paraId="3CD3EF9F" w14:textId="77777777" w:rsidR="009B4A99" w:rsidRDefault="009B4A99" w:rsidP="009B4A99">
      <w:r>
        <w:t>b)</w:t>
      </w:r>
      <w:r>
        <w:tab/>
        <w:t>PCHL710 (Contract Awards Detail) run by award date</w:t>
      </w:r>
    </w:p>
    <w:p w14:paraId="299C8087" w14:textId="77777777" w:rsidR="009B4A99" w:rsidRDefault="009B4A99" w:rsidP="009B4A99">
      <w:r>
        <w:t>c)</w:t>
      </w:r>
      <w:r>
        <w:tab/>
        <w:t>PCHL717 (</w:t>
      </w:r>
      <w:r w:rsidR="000D72BD">
        <w:t>VSBE</w:t>
      </w:r>
      <w:r>
        <w:t xml:space="preserve"> Prime Payments by Direct Voucher; no BPO/PO)</w:t>
      </w:r>
      <w:r w:rsidR="001E16C8">
        <w:t>*</w:t>
      </w:r>
    </w:p>
    <w:p w14:paraId="73FB85BE" w14:textId="77777777" w:rsidR="009B4A99" w:rsidRDefault="009B4A99" w:rsidP="009B4A99">
      <w:r>
        <w:t>d)</w:t>
      </w:r>
      <w:r>
        <w:tab/>
        <w:t>PCHL720 (</w:t>
      </w:r>
      <w:r w:rsidR="000D72BD">
        <w:t>VSBE</w:t>
      </w:r>
      <w:r>
        <w:t xml:space="preserve"> Subcontract Awards) run by award date</w:t>
      </w:r>
    </w:p>
    <w:p w14:paraId="1346CDE6" w14:textId="77777777" w:rsidR="000D72BD" w:rsidRDefault="000D72BD" w:rsidP="009B4A99"/>
    <w:p w14:paraId="1E55BE68" w14:textId="77777777" w:rsidR="000D72BD" w:rsidRDefault="000D72BD" w:rsidP="000D72BD">
      <w:r>
        <w:t xml:space="preserve">Outside of ANSWERS, you must report </w:t>
      </w:r>
    </w:p>
    <w:p w14:paraId="5A766B0E" w14:textId="77777777" w:rsidR="000D72BD" w:rsidRDefault="000D72BD" w:rsidP="000D72BD">
      <w:r>
        <w:t>e</w:t>
      </w:r>
      <w:r w:rsidRPr="000D72BD">
        <w:t>)</w:t>
      </w:r>
      <w:r w:rsidRPr="000D72BD">
        <w:tab/>
        <w:t>Manually tracked Credit Card payments</w:t>
      </w:r>
      <w:r w:rsidR="001E16C8">
        <w:t>*</w:t>
      </w:r>
    </w:p>
    <w:p w14:paraId="0BF5D8AC" w14:textId="77777777" w:rsidR="009B4A99" w:rsidRDefault="009B4A99" w:rsidP="009B4A99"/>
    <w:p w14:paraId="7185F721" w14:textId="77777777" w:rsidR="009B4A99" w:rsidRDefault="00156968" w:rsidP="009B4A99">
      <w:pPr>
        <w:rPr>
          <w:b/>
          <w:bCs/>
        </w:rPr>
      </w:pPr>
      <w:r w:rsidRPr="00156968">
        <w:rPr>
          <w:b/>
          <w:bCs/>
        </w:rPr>
        <w:t>PAYMENTS:</w:t>
      </w:r>
    </w:p>
    <w:p w14:paraId="3B66931E" w14:textId="77777777" w:rsidR="00156968" w:rsidRPr="00156968" w:rsidRDefault="00156968" w:rsidP="009B4A99">
      <w:pPr>
        <w:rPr>
          <w:b/>
          <w:bCs/>
        </w:rPr>
      </w:pPr>
    </w:p>
    <w:p w14:paraId="6926AF8D" w14:textId="77777777" w:rsidR="009B4A99" w:rsidRDefault="000D72BD" w:rsidP="009B4A99">
      <w:r>
        <w:t>a</w:t>
      </w:r>
      <w:r w:rsidRPr="000D72BD">
        <w:t>)</w:t>
      </w:r>
      <w:r w:rsidRPr="000D72BD">
        <w:tab/>
        <w:t>PCHL717 (</w:t>
      </w:r>
      <w:r>
        <w:t>VSBE</w:t>
      </w:r>
      <w:r w:rsidRPr="000D72BD">
        <w:t xml:space="preserve"> Prime Payments by Direct Voucher; no BPO/PO)</w:t>
      </w:r>
      <w:r w:rsidR="001E16C8">
        <w:t>*</w:t>
      </w:r>
    </w:p>
    <w:p w14:paraId="0C29A345" w14:textId="77777777" w:rsidR="009B4A99" w:rsidRDefault="000D72BD" w:rsidP="009B4A99">
      <w:r>
        <w:t>b</w:t>
      </w:r>
      <w:r w:rsidR="009B4A99">
        <w:t>)</w:t>
      </w:r>
      <w:r w:rsidR="009B4A99">
        <w:tab/>
        <w:t>PCHL718 (</w:t>
      </w:r>
      <w:r>
        <w:t>VSBE</w:t>
      </w:r>
      <w:r w:rsidR="009B4A99">
        <w:t xml:space="preserve"> Prime Voucher Payments made from BPO/PO)</w:t>
      </w:r>
    </w:p>
    <w:p w14:paraId="346948E3" w14:textId="77777777" w:rsidR="009B4A99" w:rsidRDefault="000D72BD" w:rsidP="009B4A99">
      <w:r>
        <w:t>c</w:t>
      </w:r>
      <w:r w:rsidR="009B4A99">
        <w:t>)</w:t>
      </w:r>
      <w:r w:rsidR="009B4A99">
        <w:tab/>
        <w:t>PCHL719 (</w:t>
      </w:r>
      <w:r>
        <w:t>VSBE</w:t>
      </w:r>
      <w:r w:rsidR="009B4A99">
        <w:t xml:space="preserve"> Subcontractor Payments)</w:t>
      </w:r>
    </w:p>
    <w:p w14:paraId="461DF67E" w14:textId="77777777" w:rsidR="000D72BD" w:rsidRDefault="000D72BD"/>
    <w:p w14:paraId="06862B4D" w14:textId="77777777" w:rsidR="000D72BD" w:rsidRDefault="000D72BD">
      <w:r>
        <w:t xml:space="preserve">Outside of ANSWERS, you must report </w:t>
      </w:r>
    </w:p>
    <w:p w14:paraId="4C143057" w14:textId="52D75990" w:rsidR="00C70106" w:rsidRDefault="000D72BD">
      <w:r>
        <w:t>d</w:t>
      </w:r>
      <w:r w:rsidRPr="000D72BD">
        <w:t>)</w:t>
      </w:r>
      <w:r w:rsidRPr="000D72BD">
        <w:tab/>
        <w:t>Manually tracked Credit Card payments</w:t>
      </w:r>
      <w:r w:rsidR="001E16C8">
        <w:t>*</w:t>
      </w:r>
    </w:p>
    <w:p w14:paraId="3D8F5385" w14:textId="77777777" w:rsidR="00C70106" w:rsidRDefault="00C70106"/>
    <w:p w14:paraId="516FA172" w14:textId="41FFE40D" w:rsidR="00222632" w:rsidRPr="00330766" w:rsidRDefault="001E16C8" w:rsidP="00431F5B">
      <w:r>
        <w:t>*PCHL 717 and Credit Card Payments are reported as both payments and awards.</w:t>
      </w:r>
    </w:p>
    <w:p w14:paraId="5631572D" w14:textId="77777777" w:rsidR="00222632" w:rsidRDefault="00222632" w:rsidP="00431F5B">
      <w:pPr>
        <w:rPr>
          <w:b/>
          <w:bCs/>
        </w:rPr>
      </w:pPr>
    </w:p>
    <w:p w14:paraId="180E5D86" w14:textId="7A26A8AE" w:rsidR="003D13E7" w:rsidRDefault="003D13E7" w:rsidP="00431F5B">
      <w:pPr>
        <w:rPr>
          <w:b/>
          <w:bCs/>
        </w:rPr>
      </w:pPr>
    </w:p>
    <w:p w14:paraId="38221498" w14:textId="77777777" w:rsidR="003D13E7" w:rsidRDefault="003D13E7" w:rsidP="00431F5B">
      <w:pPr>
        <w:rPr>
          <w:b/>
          <w:bCs/>
        </w:rPr>
      </w:pPr>
    </w:p>
    <w:p w14:paraId="63F5B605"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jc w:val="center"/>
        <w:rPr>
          <w:rFonts w:eastAsia="Times New Roman"/>
          <w:color w:val="000000"/>
          <w:szCs w:val="22"/>
        </w:rPr>
      </w:pPr>
    </w:p>
    <w:p w14:paraId="6454B901" w14:textId="0A39A60B"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50" w:line="259" w:lineRule="auto"/>
        <w:jc w:val="center"/>
        <w:rPr>
          <w:rFonts w:eastAsia="Times New Roman"/>
          <w:color w:val="000000"/>
          <w:szCs w:val="22"/>
        </w:rPr>
      </w:pPr>
      <w:r w:rsidRPr="001D1943">
        <w:rPr>
          <w:rFonts w:eastAsia="Times New Roman"/>
          <w:b/>
          <w:color w:val="000000"/>
          <w:szCs w:val="22"/>
        </w:rPr>
        <w:t xml:space="preserve">FMIS CHEAT SHEET </w:t>
      </w:r>
    </w:p>
    <w:p w14:paraId="214A3761"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14" w:line="259" w:lineRule="auto"/>
        <w:rPr>
          <w:rFonts w:eastAsia="Times New Roman"/>
          <w:color w:val="000000"/>
          <w:szCs w:val="22"/>
        </w:rPr>
      </w:pPr>
      <w:r w:rsidRPr="001D1943">
        <w:rPr>
          <w:rFonts w:eastAsia="Times New Roman"/>
          <w:b/>
          <w:color w:val="000000"/>
          <w:sz w:val="32"/>
          <w:szCs w:val="22"/>
        </w:rPr>
        <w:t xml:space="preserve"> </w:t>
      </w:r>
    </w:p>
    <w:p w14:paraId="373B39D0"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ind w:left="10" w:hanging="10"/>
        <w:rPr>
          <w:rFonts w:eastAsia="Times New Roman"/>
          <w:color w:val="000000"/>
          <w:szCs w:val="22"/>
        </w:rPr>
      </w:pPr>
      <w:r w:rsidRPr="001D1943">
        <w:rPr>
          <w:rFonts w:eastAsia="Times New Roman"/>
          <w:b/>
          <w:color w:val="000000"/>
          <w:sz w:val="32"/>
          <w:szCs w:val="22"/>
        </w:rPr>
        <w:t>AWARDS</w:t>
      </w:r>
      <w:r w:rsidRPr="001D1943">
        <w:rPr>
          <w:rFonts w:eastAsia="Times New Roman"/>
          <w:b/>
          <w:color w:val="000000"/>
          <w:sz w:val="28"/>
          <w:szCs w:val="22"/>
        </w:rPr>
        <w:t xml:space="preserve"> = ANSWER reports 709, 710, 717, 720 &amp; 721 </w:t>
      </w:r>
      <w:r w:rsidRPr="001D1943">
        <w:rPr>
          <w:rFonts w:eastAsia="Times New Roman"/>
          <w:b/>
          <w:color w:val="000000"/>
          <w:sz w:val="22"/>
          <w:szCs w:val="22"/>
        </w:rPr>
        <w:t xml:space="preserve">OR VIEW DIRECT A30USB11 </w:t>
      </w:r>
    </w:p>
    <w:p w14:paraId="7625B587"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color w:val="000000"/>
          <w:sz w:val="28"/>
          <w:szCs w:val="22"/>
        </w:rPr>
        <w:t xml:space="preserve"> </w:t>
      </w:r>
    </w:p>
    <w:p w14:paraId="1FB1FB80"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after="51" w:line="259" w:lineRule="auto"/>
        <w:rPr>
          <w:rFonts w:eastAsia="Times New Roman"/>
          <w:color w:val="000000"/>
          <w:szCs w:val="22"/>
        </w:rPr>
      </w:pPr>
      <w:r w:rsidRPr="001D1943">
        <w:rPr>
          <w:rFonts w:eastAsia="Times New Roman"/>
          <w:b/>
          <w:color w:val="000000"/>
          <w:sz w:val="28"/>
          <w:szCs w:val="22"/>
        </w:rPr>
        <w:t xml:space="preserve"> </w:t>
      </w:r>
    </w:p>
    <w:p w14:paraId="0A0A0FEE"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ind w:left="10" w:hanging="10"/>
        <w:rPr>
          <w:rFonts w:eastAsia="Times New Roman"/>
          <w:color w:val="000000"/>
          <w:szCs w:val="22"/>
        </w:rPr>
      </w:pPr>
      <w:r w:rsidRPr="001D1943">
        <w:rPr>
          <w:rFonts w:eastAsia="Times New Roman"/>
          <w:b/>
          <w:color w:val="000000"/>
          <w:sz w:val="32"/>
          <w:szCs w:val="22"/>
        </w:rPr>
        <w:t>PAYMENTS</w:t>
      </w:r>
      <w:r w:rsidRPr="001D1943">
        <w:rPr>
          <w:rFonts w:eastAsia="Times New Roman"/>
          <w:b/>
          <w:color w:val="000000"/>
          <w:sz w:val="28"/>
          <w:szCs w:val="22"/>
        </w:rPr>
        <w:t xml:space="preserve"> = ANSWER reports 717, 718, 719 &amp; 721 </w:t>
      </w:r>
      <w:r w:rsidRPr="001D1943">
        <w:rPr>
          <w:rFonts w:eastAsia="Times New Roman"/>
          <w:b/>
          <w:color w:val="000000"/>
          <w:sz w:val="22"/>
          <w:szCs w:val="22"/>
        </w:rPr>
        <w:t xml:space="preserve">OR VIEW DIRECT A30USB11 </w:t>
      </w:r>
    </w:p>
    <w:p w14:paraId="3F11DA4E"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color w:val="000000"/>
          <w:sz w:val="28"/>
          <w:szCs w:val="22"/>
        </w:rPr>
        <w:t xml:space="preserve"> </w:t>
      </w:r>
    </w:p>
    <w:p w14:paraId="2AF0A8B2"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color w:val="000000"/>
          <w:szCs w:val="22"/>
        </w:rPr>
        <w:t xml:space="preserve"> </w:t>
      </w:r>
    </w:p>
    <w:p w14:paraId="6D847DA4"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Reminder:  Direct Vouchers and P-card purchases* are reported as both AWARDS and PAYMENTS. </w:t>
      </w:r>
    </w:p>
    <w:p w14:paraId="0ED4F9A3"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 </w:t>
      </w:r>
    </w:p>
    <w:p w14:paraId="1B799BD6" w14:textId="77777777"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 w:val="18"/>
          <w:szCs w:val="22"/>
        </w:rPr>
        <w:t>*With the exception of control agency/department statewide contracts</w:t>
      </w:r>
      <w:r w:rsidRPr="001D1943">
        <w:rPr>
          <w:rFonts w:eastAsia="Times New Roman"/>
          <w:b/>
          <w:i/>
          <w:color w:val="000000"/>
          <w:szCs w:val="22"/>
        </w:rPr>
        <w:t xml:space="preserve"> </w:t>
      </w:r>
    </w:p>
    <w:p w14:paraId="2D2AF495" w14:textId="5E2B17C8" w:rsidR="001D1943" w:rsidRPr="001D1943" w:rsidRDefault="001D1943" w:rsidP="001D1943">
      <w:pPr>
        <w:pBdr>
          <w:top w:val="single" w:sz="4" w:space="0" w:color="000000"/>
          <w:left w:val="single" w:sz="4" w:space="0" w:color="000000"/>
          <w:bottom w:val="single" w:sz="4" w:space="0" w:color="000000"/>
          <w:right w:val="single" w:sz="4" w:space="0" w:color="000000"/>
        </w:pBdr>
        <w:shd w:val="clear" w:color="auto" w:fill="FFFF00"/>
        <w:spacing w:line="259" w:lineRule="auto"/>
        <w:rPr>
          <w:rFonts w:eastAsia="Times New Roman"/>
          <w:color w:val="000000"/>
          <w:szCs w:val="22"/>
        </w:rPr>
      </w:pPr>
      <w:r w:rsidRPr="001D1943">
        <w:rPr>
          <w:rFonts w:eastAsia="Times New Roman"/>
          <w:b/>
          <w:i/>
          <w:color w:val="000000"/>
          <w:szCs w:val="22"/>
        </w:rPr>
        <w:t xml:space="preserve"> </w:t>
      </w:r>
    </w:p>
    <w:p w14:paraId="256D3D08" w14:textId="77777777" w:rsidR="00431F5B" w:rsidRPr="00431F5B" w:rsidRDefault="00431F5B" w:rsidP="00431F5B">
      <w:pPr>
        <w:rPr>
          <w:b/>
          <w:bCs/>
          <w:i/>
          <w:iCs/>
        </w:rPr>
      </w:pPr>
      <w:r w:rsidRPr="00431F5B">
        <w:rPr>
          <w:b/>
          <w:bCs/>
          <w:i/>
          <w:iCs/>
        </w:rPr>
        <w:t>Tips</w:t>
      </w:r>
    </w:p>
    <w:p w14:paraId="6ACB2423" w14:textId="77777777" w:rsidR="00431F5B" w:rsidRPr="00431F5B" w:rsidRDefault="00431F5B" w:rsidP="00431F5B"/>
    <w:p w14:paraId="0E363074" w14:textId="62D2DAA8" w:rsidR="00431F5B" w:rsidRPr="00431F5B" w:rsidRDefault="00431F5B" w:rsidP="00431F5B">
      <w:r w:rsidRPr="00431F5B">
        <w:t xml:space="preserve">The purpose of reporting is to evidence the State of Maryland’s commitment to procuring goods and services from </w:t>
      </w:r>
      <w:r>
        <w:t>veterans</w:t>
      </w:r>
      <w:r w:rsidRPr="00431F5B">
        <w:t xml:space="preserve">. </w:t>
      </w:r>
      <w:r>
        <w:t>N</w:t>
      </w:r>
      <w:r w:rsidRPr="00431F5B">
        <w:t>on-procurement items should not be included in agencies’ reports.  (Refer to COMAR 21.01.03.01 for items that are exempt from procurement reporting.)</w:t>
      </w:r>
    </w:p>
    <w:p w14:paraId="4FED8E9B" w14:textId="77777777" w:rsidR="00431F5B" w:rsidRPr="00431F5B" w:rsidRDefault="00431F5B" w:rsidP="00431F5B"/>
    <w:p w14:paraId="6784C08D" w14:textId="77777777" w:rsidR="00431F5B" w:rsidRPr="00431F5B" w:rsidRDefault="00431F5B" w:rsidP="00431F5B">
      <w:pPr>
        <w:pStyle w:val="ListParagraph"/>
        <w:numPr>
          <w:ilvl w:val="0"/>
          <w:numId w:val="8"/>
        </w:numPr>
      </w:pPr>
      <w:r w:rsidRPr="00431F5B">
        <w:t xml:space="preserve">For a more complete list of exclusions visit </w:t>
      </w:r>
      <w:hyperlink r:id="rId18" w:history="1">
        <w:r w:rsidRPr="00431F5B">
          <w:rPr>
            <w:rStyle w:val="Hyperlink"/>
          </w:rPr>
          <w:t>http://GOSBA.maryland.gov/Pages/Reporting-Tool-MBE.aspx</w:t>
        </w:r>
      </w:hyperlink>
      <w:r w:rsidRPr="00431F5B">
        <w:t xml:space="preserve"> and download the GAD List Exclusion Definitions.</w:t>
      </w:r>
    </w:p>
    <w:p w14:paraId="6ADBBECE" w14:textId="77777777" w:rsidR="00431F5B" w:rsidRPr="00431F5B" w:rsidRDefault="00431F5B" w:rsidP="00431F5B"/>
    <w:p w14:paraId="057295A6" w14:textId="6DA4902A" w:rsidR="00117EFD" w:rsidRDefault="00431F5B" w:rsidP="00117EFD">
      <w:pPr>
        <w:pStyle w:val="ListParagraph"/>
        <w:numPr>
          <w:ilvl w:val="0"/>
          <w:numId w:val="8"/>
        </w:numPr>
      </w:pPr>
      <w:r>
        <w:t>R</w:t>
      </w:r>
      <w:r w:rsidRPr="00431F5B">
        <w:t xml:space="preserve">emember that use of non-delegated Statewide contracts is not reportable as awards; however, payments made on these contracts are reportable in the payments table on </w:t>
      </w:r>
      <w:r>
        <w:t>the VSBE Annual Report</w:t>
      </w:r>
      <w:r w:rsidRPr="00431F5B">
        <w:t>. (Rule of thumb: Awards – do not include awards made from Statewide Contracts; Payments – report all procurement payments, including payments on Statewide contracts.)</w:t>
      </w:r>
      <w:bookmarkStart w:id="5" w:name="_Toc44518540"/>
    </w:p>
    <w:p w14:paraId="4C658EDC" w14:textId="77777777" w:rsidR="00117EFD" w:rsidRPr="00117EFD" w:rsidRDefault="00117EFD" w:rsidP="00117EFD"/>
    <w:p w14:paraId="6025EAF8" w14:textId="034803CA" w:rsidR="001E16C8" w:rsidRPr="009E35A8" w:rsidRDefault="00156968" w:rsidP="00135439">
      <w:pPr>
        <w:pStyle w:val="Heading1"/>
        <w:numPr>
          <w:ilvl w:val="0"/>
          <w:numId w:val="0"/>
        </w:numPr>
        <w:rPr>
          <w:b/>
          <w:bCs/>
          <w:color w:val="auto"/>
        </w:rPr>
      </w:pPr>
      <w:r w:rsidRPr="009E35A8">
        <w:rPr>
          <w:b/>
          <w:bCs/>
          <w:color w:val="auto"/>
        </w:rPr>
        <w:t>Backup Data</w:t>
      </w:r>
      <w:bookmarkEnd w:id="5"/>
    </w:p>
    <w:p w14:paraId="29B40D0D" w14:textId="77777777" w:rsidR="00156968" w:rsidRDefault="00156968"/>
    <w:p w14:paraId="7B658735" w14:textId="77777777" w:rsidR="00C70106" w:rsidRDefault="007B7A33" w:rsidP="007B7A33">
      <w:pPr>
        <w:pStyle w:val="ListParagraph"/>
        <w:numPr>
          <w:ilvl w:val="0"/>
          <w:numId w:val="6"/>
        </w:numPr>
      </w:pPr>
      <w:r>
        <w:t xml:space="preserve">700 Series and Credit Card </w:t>
      </w:r>
      <w:r w:rsidR="00156968">
        <w:t>Reports should be scrubbed to remove all non-reportable items.</w:t>
      </w:r>
    </w:p>
    <w:p w14:paraId="0100F425" w14:textId="77777777" w:rsidR="007B7A33" w:rsidRDefault="007B7A33"/>
    <w:p w14:paraId="1CA2D489" w14:textId="77777777" w:rsidR="00156968" w:rsidRDefault="007B7A33" w:rsidP="007B7A33">
      <w:pPr>
        <w:pStyle w:val="ListParagraph"/>
        <w:numPr>
          <w:ilvl w:val="0"/>
          <w:numId w:val="6"/>
        </w:numPr>
      </w:pPr>
      <w:r>
        <w:t xml:space="preserve">All </w:t>
      </w:r>
      <w:r w:rsidR="00156968">
        <w:t xml:space="preserve">original and scrubbed </w:t>
      </w:r>
      <w:r>
        <w:t xml:space="preserve">reports </w:t>
      </w:r>
      <w:r w:rsidR="00156968">
        <w:t>should be added to one Excel Workbook on different tabs</w:t>
      </w:r>
      <w:r>
        <w:t>.</w:t>
      </w:r>
    </w:p>
    <w:p w14:paraId="2DC03BE0" w14:textId="77777777" w:rsidR="007B7A33" w:rsidRDefault="007B7A33"/>
    <w:p w14:paraId="060B7FD0" w14:textId="3773C27D" w:rsidR="00E10606" w:rsidRPr="003D13E7" w:rsidRDefault="007B7A33" w:rsidP="003D13E7">
      <w:pPr>
        <w:pStyle w:val="ListParagraph"/>
        <w:numPr>
          <w:ilvl w:val="0"/>
          <w:numId w:val="6"/>
        </w:numPr>
      </w:pPr>
      <w:r>
        <w:t>The reports should be emailed along with the VSBE Annual Report as backup data.</w:t>
      </w:r>
      <w:bookmarkStart w:id="6" w:name="_Toc44518541"/>
    </w:p>
    <w:p w14:paraId="0C1314E4" w14:textId="6B71C124" w:rsidR="005638FA" w:rsidRPr="00794255" w:rsidRDefault="00547D44" w:rsidP="00794255">
      <w:pPr>
        <w:pStyle w:val="Heading1"/>
        <w:numPr>
          <w:ilvl w:val="0"/>
          <w:numId w:val="0"/>
        </w:numPr>
        <w:rPr>
          <w:b/>
          <w:bCs/>
          <w:color w:val="auto"/>
        </w:rPr>
      </w:pPr>
      <w:r w:rsidRPr="00794255">
        <w:rPr>
          <w:b/>
          <w:bCs/>
          <w:color w:val="auto"/>
        </w:rPr>
        <w:lastRenderedPageBreak/>
        <w:t>VSBE Annual Report</w:t>
      </w:r>
      <w:bookmarkEnd w:id="6"/>
    </w:p>
    <w:p w14:paraId="531515B7" w14:textId="77777777" w:rsidR="00547D44" w:rsidRDefault="00547D44"/>
    <w:p w14:paraId="6AEEF1BB" w14:textId="49201A21" w:rsidR="00B62F24" w:rsidRDefault="00772C44">
      <w:hyperlink r:id="rId19" w:history="1">
        <w:r w:rsidR="00C471D1" w:rsidRPr="00C93F32">
          <w:rPr>
            <w:rStyle w:val="Hyperlink"/>
          </w:rPr>
          <w:t xml:space="preserve">Click to obtain the latest VSBE Annual Report </w:t>
        </w:r>
      </w:hyperlink>
      <w:r w:rsidR="00B62F24">
        <w:t xml:space="preserve"> or email </w:t>
      </w:r>
      <w:hyperlink r:id="rId20" w:history="1">
        <w:r w:rsidR="00CA00C6" w:rsidRPr="00CE1E44">
          <w:rPr>
            <w:rStyle w:val="Hyperlink"/>
          </w:rPr>
          <w:t>danielle.davis2@maryland.gov</w:t>
        </w:r>
      </w:hyperlink>
      <w:r w:rsidR="00B62F24">
        <w:t>.</w:t>
      </w:r>
    </w:p>
    <w:p w14:paraId="3C993522" w14:textId="77777777" w:rsidR="00B62F24" w:rsidRDefault="00B62F24"/>
    <w:p w14:paraId="5C983C55" w14:textId="1D119A72" w:rsidR="00B62F24" w:rsidRDefault="00B62F24">
      <w:r>
        <w:t>VSBE Annual Report Template</w:t>
      </w:r>
      <w:r w:rsidR="00C93F32">
        <w:t xml:space="preserve">- Located with </w:t>
      </w:r>
      <w:hyperlink r:id="rId21" w:history="1">
        <w:r w:rsidR="00C93F32" w:rsidRPr="00C93F32">
          <w:rPr>
            <w:rStyle w:val="Hyperlink"/>
          </w:rPr>
          <w:t>VSBE Toolkit</w:t>
        </w:r>
      </w:hyperlink>
      <w:r>
        <w:t xml:space="preserve"> </w:t>
      </w:r>
    </w:p>
    <w:p w14:paraId="7C60DB8F" w14:textId="77777777" w:rsidR="00C93F32" w:rsidRDefault="00C93F32"/>
    <w:p w14:paraId="574F60B2" w14:textId="7954E903" w:rsidR="00547D44" w:rsidRDefault="00547D44">
      <w:pPr>
        <w:rPr>
          <w:noProof/>
        </w:rPr>
      </w:pPr>
    </w:p>
    <w:p w14:paraId="57B96586" w14:textId="58CDBE01" w:rsidR="00CA00C6" w:rsidRDefault="00CA00C6">
      <w:pPr>
        <w:rPr>
          <w:noProof/>
        </w:rPr>
      </w:pPr>
      <w:r>
        <w:rPr>
          <w:noProof/>
        </w:rPr>
        <w:drawing>
          <wp:inline distT="0" distB="0" distL="0" distR="0" wp14:anchorId="7A82E86D" wp14:editId="7B318FFC">
            <wp:extent cx="4575529" cy="4179570"/>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22"/>
                    <a:stretch>
                      <a:fillRect/>
                    </a:stretch>
                  </pic:blipFill>
                  <pic:spPr>
                    <a:xfrm>
                      <a:off x="0" y="0"/>
                      <a:ext cx="4586626" cy="4189707"/>
                    </a:xfrm>
                    <a:prstGeom prst="rect">
                      <a:avLst/>
                    </a:prstGeom>
                  </pic:spPr>
                </pic:pic>
              </a:graphicData>
            </a:graphic>
          </wp:inline>
        </w:drawing>
      </w:r>
    </w:p>
    <w:p w14:paraId="1B3D6203" w14:textId="79D02AFF" w:rsidR="005638FA" w:rsidRDefault="005638FA"/>
    <w:p w14:paraId="420E74A5" w14:textId="77777777" w:rsidR="00117EFD" w:rsidRDefault="00117EFD"/>
    <w:p w14:paraId="1CE5BC4C" w14:textId="3C643894" w:rsidR="00794255" w:rsidRDefault="00794255" w:rsidP="00117EFD">
      <w:pPr>
        <w:pStyle w:val="ListParagraph"/>
        <w:numPr>
          <w:ilvl w:val="0"/>
          <w:numId w:val="7"/>
        </w:numPr>
      </w:pPr>
      <w:r>
        <w:t>All AWARDS columns require data for</w:t>
      </w:r>
      <w:r w:rsidR="005A74B0">
        <w:t xml:space="preserve"> three different award types: R</w:t>
      </w:r>
      <w:r>
        <w:t>egular Procurement Contracts, Corporate Credit Card, and Direct Voucher Awards.</w:t>
      </w:r>
    </w:p>
    <w:p w14:paraId="18E537F5" w14:textId="78B0638C" w:rsidR="00C471D1" w:rsidRDefault="00794255" w:rsidP="00330766">
      <w:pPr>
        <w:pStyle w:val="ListParagraph"/>
        <w:numPr>
          <w:ilvl w:val="0"/>
          <w:numId w:val="7"/>
        </w:numPr>
      </w:pPr>
      <w:r>
        <w:t xml:space="preserve">The yellow </w:t>
      </w:r>
      <w:r w:rsidRPr="00794255">
        <w:rPr>
          <w:noProof/>
        </w:rPr>
        <w:drawing>
          <wp:inline distT="0" distB="0" distL="0" distR="0" wp14:anchorId="0EFC09DD" wp14:editId="76132C30">
            <wp:extent cx="470847" cy="149403"/>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1881" cy="175116"/>
                    </a:xfrm>
                    <a:prstGeom prst="rect">
                      <a:avLst/>
                    </a:prstGeom>
                  </pic:spPr>
                </pic:pic>
              </a:graphicData>
            </a:graphic>
          </wp:inline>
        </w:drawing>
      </w:r>
      <w:r>
        <w:t xml:space="preserve"> cells indicate that data must be added, blue </w:t>
      </w:r>
      <w:r w:rsidRPr="00794255">
        <w:rPr>
          <w:noProof/>
        </w:rPr>
        <w:drawing>
          <wp:inline distT="0" distB="0" distL="0" distR="0" wp14:anchorId="58932386" wp14:editId="1FC6AFB6">
            <wp:extent cx="431360" cy="135255"/>
            <wp:effectExtent l="19050" t="19050" r="26035" b="171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b="30127"/>
                    <a:stretch/>
                  </pic:blipFill>
                  <pic:spPr bwMode="auto">
                    <a:xfrm>
                      <a:off x="0" y="0"/>
                      <a:ext cx="504266" cy="1581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t xml:space="preserve"> cells indicate that data is calculated, and these cells are protected.</w:t>
      </w:r>
    </w:p>
    <w:p w14:paraId="2130E80C" w14:textId="77777777" w:rsidR="00B62F24" w:rsidRDefault="00B62F24"/>
    <w:p w14:paraId="12413A99" w14:textId="77777777" w:rsidR="00E10606" w:rsidRDefault="00E10606">
      <w:pPr>
        <w:rPr>
          <w:i/>
          <w:iCs/>
          <w:u w:val="single"/>
        </w:rPr>
      </w:pPr>
    </w:p>
    <w:p w14:paraId="6C42D193" w14:textId="34F0BAF6" w:rsidR="00794255" w:rsidRPr="00794255" w:rsidRDefault="00794255">
      <w:pPr>
        <w:rPr>
          <w:i/>
          <w:iCs/>
          <w:u w:val="single"/>
        </w:rPr>
      </w:pPr>
      <w:r w:rsidRPr="00794255">
        <w:rPr>
          <w:i/>
          <w:iCs/>
          <w:u w:val="single"/>
        </w:rPr>
        <w:t>Enter the data as follows</w:t>
      </w:r>
    </w:p>
    <w:p w14:paraId="5A6EDD9A" w14:textId="77777777" w:rsidR="00794255" w:rsidRPr="00794255" w:rsidRDefault="00794255">
      <w:pPr>
        <w:rPr>
          <w:i/>
          <w:iCs/>
          <w:u w:val="single"/>
        </w:rPr>
      </w:pPr>
    </w:p>
    <w:p w14:paraId="6A3837AE" w14:textId="77777777" w:rsidR="00794255" w:rsidRDefault="00794255">
      <w:r>
        <w:t>Row 7: Enter Agency name</w:t>
      </w:r>
    </w:p>
    <w:p w14:paraId="09BD0D25" w14:textId="77777777" w:rsidR="00794255" w:rsidRDefault="00794255">
      <w:r>
        <w:t>Row 8: Enter report preparers name</w:t>
      </w:r>
    </w:p>
    <w:p w14:paraId="34ADEC61" w14:textId="77777777" w:rsidR="005638FA" w:rsidRDefault="00547D44">
      <w:r>
        <w:t xml:space="preserve">Awards Column </w:t>
      </w:r>
      <w:r w:rsidR="00794255">
        <w:t>B</w:t>
      </w:r>
      <w:r>
        <w:t xml:space="preserve">: Count the total </w:t>
      </w:r>
      <w:r w:rsidR="00415585">
        <w:t xml:space="preserve">agency </w:t>
      </w:r>
      <w:r>
        <w:t>procurements for each award type</w:t>
      </w:r>
      <w:r w:rsidR="00794255">
        <w:t xml:space="preserve"> and place the # here.</w:t>
      </w:r>
    </w:p>
    <w:p w14:paraId="0F5217F6" w14:textId="77777777" w:rsidR="005638FA" w:rsidRDefault="00794255">
      <w:r>
        <w:lastRenderedPageBreak/>
        <w:t>Awards Column C: Add the $ amount</w:t>
      </w:r>
      <w:r w:rsidR="00415585">
        <w:t>s</w:t>
      </w:r>
      <w:r>
        <w:t xml:space="preserve"> of total </w:t>
      </w:r>
      <w:r w:rsidR="00415585">
        <w:t xml:space="preserve">agency </w:t>
      </w:r>
      <w:r>
        <w:t>procurements for each award type and place amount here</w:t>
      </w:r>
    </w:p>
    <w:p w14:paraId="5B6E0039" w14:textId="77777777" w:rsidR="00794255" w:rsidRDefault="00794255">
      <w:r>
        <w:t>Award Column D: Count the total Contracts awarded to VSBE Primes for each award type and place the # here</w:t>
      </w:r>
    </w:p>
    <w:p w14:paraId="260B6BF7" w14:textId="77777777" w:rsidR="00794255" w:rsidRDefault="00794255">
      <w:r>
        <w:t>Awards Column E: Add the $ amount</w:t>
      </w:r>
      <w:r w:rsidR="00415585">
        <w:t>s</w:t>
      </w:r>
      <w:r>
        <w:t xml:space="preserve"> of total </w:t>
      </w:r>
      <w:r w:rsidR="00415585">
        <w:t>procurements</w:t>
      </w:r>
      <w:r>
        <w:t xml:space="preserve"> awarded to </w:t>
      </w:r>
      <w:r w:rsidR="00415585">
        <w:t>VSBE Primes for each award time and place amount here</w:t>
      </w:r>
    </w:p>
    <w:p w14:paraId="1F39B3BB" w14:textId="77777777" w:rsidR="00415585" w:rsidRDefault="00415585">
      <w:r>
        <w:t>Awards Column F: Count the total procurements awarded to VSBE Subcontractors for each award type and place the # here</w:t>
      </w:r>
    </w:p>
    <w:p w14:paraId="03B0CDFA" w14:textId="77777777" w:rsidR="00415585" w:rsidRDefault="00415585">
      <w:r>
        <w:t>Awards Column G: Add the $ amounts of total procurements awarded to VSBE Subcontractors for each award type and place amount here</w:t>
      </w:r>
    </w:p>
    <w:p w14:paraId="30DA9669" w14:textId="77777777" w:rsidR="00415585" w:rsidRDefault="00415585"/>
    <w:p w14:paraId="4CC90286" w14:textId="77777777" w:rsidR="00415585" w:rsidRDefault="00415585">
      <w:r>
        <w:t>The VSBE participation % is calculated automatically.</w:t>
      </w:r>
    </w:p>
    <w:p w14:paraId="5672BA5A" w14:textId="77777777" w:rsidR="00415585" w:rsidRDefault="00415585"/>
    <w:p w14:paraId="0A63E936" w14:textId="77777777" w:rsidR="00415585" w:rsidRDefault="00415585"/>
    <w:p w14:paraId="35F68047" w14:textId="77777777" w:rsidR="00415585" w:rsidRDefault="00415585">
      <w:r>
        <w:t>PAYMENT columns only require data for two cells</w:t>
      </w:r>
    </w:p>
    <w:p w14:paraId="4CA3FE75" w14:textId="77777777" w:rsidR="00415585" w:rsidRDefault="00415585">
      <w:r>
        <w:t>Payment Cell D21: Total $ amounts paid to all Prime Contractors</w:t>
      </w:r>
    </w:p>
    <w:p w14:paraId="4A65A01A" w14:textId="77777777" w:rsidR="00415585" w:rsidRDefault="00415585">
      <w:r>
        <w:t>Payment Cell E21: Total $ amounts paid to VSBE Prime and Subcontractors</w:t>
      </w:r>
    </w:p>
    <w:p w14:paraId="37BBD7DE" w14:textId="77777777" w:rsidR="00415585" w:rsidRDefault="00415585"/>
    <w:p w14:paraId="3C5531FF" w14:textId="77777777" w:rsidR="00415585" w:rsidRDefault="00415585">
      <w:r>
        <w:t>The VSBE payment % is calculated automatically.</w:t>
      </w:r>
    </w:p>
    <w:p w14:paraId="2B6BCF04" w14:textId="79794F7B" w:rsidR="009E35A8" w:rsidRDefault="009E35A8"/>
    <w:p w14:paraId="3DEB111A" w14:textId="77777777" w:rsidR="00E6755E" w:rsidRDefault="00E6755E"/>
    <w:p w14:paraId="61F19BF3" w14:textId="77777777" w:rsidR="009E35A8" w:rsidRPr="009E35A8" w:rsidRDefault="009E35A8" w:rsidP="009E35A8">
      <w:pPr>
        <w:pStyle w:val="Heading1"/>
        <w:numPr>
          <w:ilvl w:val="0"/>
          <w:numId w:val="0"/>
        </w:numPr>
        <w:rPr>
          <w:b/>
          <w:bCs/>
          <w:color w:val="auto"/>
        </w:rPr>
      </w:pPr>
      <w:bookmarkStart w:id="7" w:name="_Toc44518542"/>
      <w:r w:rsidRPr="009E35A8">
        <w:rPr>
          <w:b/>
          <w:bCs/>
          <w:color w:val="auto"/>
        </w:rPr>
        <w:t>Contact Emails</w:t>
      </w:r>
      <w:bookmarkEnd w:id="7"/>
    </w:p>
    <w:p w14:paraId="0CF8AEC5" w14:textId="77777777" w:rsidR="009E35A8" w:rsidRDefault="009E35A8"/>
    <w:p w14:paraId="3B5567DA" w14:textId="77777777" w:rsidR="009E35A8" w:rsidRDefault="009E35A8" w:rsidP="00A418C4">
      <w:pPr>
        <w:jc w:val="center"/>
      </w:pPr>
      <w:r>
        <w:t>Completed Annual Reports and Backup Data should be emailed to GOSBA by October 1</w:t>
      </w:r>
      <w:r w:rsidRPr="009E35A8">
        <w:rPr>
          <w:vertAlign w:val="superscript"/>
        </w:rPr>
        <w:t>st</w:t>
      </w:r>
      <w:r>
        <w:t xml:space="preserve"> at </w:t>
      </w:r>
      <w:hyperlink r:id="rId25" w:history="1">
        <w:r w:rsidRPr="00844E45">
          <w:rPr>
            <w:rStyle w:val="Hyperlink"/>
          </w:rPr>
          <w:t>vsbereports.gosba@maryland.gov</w:t>
        </w:r>
      </w:hyperlink>
      <w:r>
        <w:t>.</w:t>
      </w:r>
    </w:p>
    <w:p w14:paraId="567DD715" w14:textId="77777777" w:rsidR="009E35A8" w:rsidRDefault="009E35A8" w:rsidP="00A418C4">
      <w:pPr>
        <w:jc w:val="center"/>
      </w:pPr>
    </w:p>
    <w:p w14:paraId="21F0F953" w14:textId="77777777" w:rsidR="00587DDA" w:rsidRDefault="00F95E6A" w:rsidP="00F95E6A">
      <w:pPr>
        <w:jc w:val="center"/>
      </w:pPr>
      <w:r>
        <w:t>General questions about the VSBE Program</w:t>
      </w:r>
      <w:r w:rsidR="00587DDA">
        <w:t xml:space="preserve"> or reporting</w:t>
      </w:r>
      <w:r>
        <w:t xml:space="preserve"> should be directed to VSBE Compliance Manager, Danielle Davis via email </w:t>
      </w:r>
    </w:p>
    <w:p w14:paraId="5AA790A7" w14:textId="7B145B48" w:rsidR="00F95E6A" w:rsidRDefault="00772C44" w:rsidP="00F95E6A">
      <w:pPr>
        <w:jc w:val="center"/>
      </w:pPr>
      <w:hyperlink r:id="rId26" w:history="1">
        <w:r w:rsidR="00587DDA" w:rsidRPr="00CE1E44">
          <w:rPr>
            <w:rStyle w:val="Hyperlink"/>
          </w:rPr>
          <w:t>Danielle.Davis2@maryland.gov</w:t>
        </w:r>
      </w:hyperlink>
      <w:r w:rsidR="00F95E6A">
        <w:t xml:space="preserve"> or phone 443-346-0717.</w:t>
      </w:r>
    </w:p>
    <w:p w14:paraId="6BF40686" w14:textId="77777777" w:rsidR="00F95E6A" w:rsidRDefault="00F95E6A" w:rsidP="00F95E6A">
      <w:pPr>
        <w:jc w:val="center"/>
      </w:pPr>
    </w:p>
    <w:p w14:paraId="0B0BEB5A" w14:textId="77777777" w:rsidR="009E35A8" w:rsidRDefault="009E35A8" w:rsidP="00A418C4">
      <w:pPr>
        <w:jc w:val="center"/>
      </w:pPr>
    </w:p>
    <w:p w14:paraId="14282A9B" w14:textId="77777777" w:rsidR="00F95E6A" w:rsidRDefault="00F95E6A">
      <w:pPr>
        <w:jc w:val="center"/>
      </w:pPr>
    </w:p>
    <w:sectPr w:rsidR="00F95E6A" w:rsidSect="00227F3C">
      <w:footerReference w:type="default" r:id="rId27"/>
      <w:pgSz w:w="12240" w:h="15840"/>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AC6A6" w14:textId="77777777" w:rsidR="00772C44" w:rsidRDefault="00772C44" w:rsidP="00227F3C">
      <w:r>
        <w:separator/>
      </w:r>
    </w:p>
  </w:endnote>
  <w:endnote w:type="continuationSeparator" w:id="0">
    <w:p w14:paraId="17B2F410" w14:textId="77777777" w:rsidR="00772C44" w:rsidRDefault="00772C44" w:rsidP="00227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rPr>
      <w:id w:val="-1327509382"/>
      <w:docPartObj>
        <w:docPartGallery w:val="Page Numbers (Bottom of Page)"/>
        <w:docPartUnique/>
      </w:docPartObj>
    </w:sdtPr>
    <w:sdtEndPr>
      <w:rPr>
        <w:noProof/>
      </w:rPr>
    </w:sdtEndPr>
    <w:sdtContent>
      <w:p w14:paraId="77BB0649" w14:textId="60715553" w:rsidR="00227F3C" w:rsidRPr="00227F3C" w:rsidRDefault="00227F3C" w:rsidP="00227F3C">
        <w:pPr>
          <w:pStyle w:val="Footer"/>
          <w:rPr>
            <w:b/>
            <w:bCs/>
          </w:rPr>
        </w:pPr>
        <w:r w:rsidRPr="00227F3C">
          <w:rPr>
            <w:b/>
            <w:bCs/>
          </w:rPr>
          <w:t>VSBE Report Manual</w:t>
        </w:r>
        <w:r w:rsidR="004E289A">
          <w:rPr>
            <w:b/>
            <w:bCs/>
          </w:rPr>
          <w:t xml:space="preserve"> </w:t>
        </w:r>
        <w:r w:rsidR="004E289A" w:rsidRPr="004E289A">
          <w:rPr>
            <w:i/>
            <w:iCs/>
            <w:sz w:val="20"/>
            <w:szCs w:val="20"/>
          </w:rPr>
          <w:t>(6.2022)</w:t>
        </w:r>
        <w:r w:rsidRPr="00227F3C">
          <w:rPr>
            <w:b/>
            <w:bCs/>
          </w:rPr>
          <w:tab/>
        </w:r>
        <w:r w:rsidRPr="00227F3C">
          <w:rPr>
            <w:b/>
            <w:bCs/>
          </w:rPr>
          <w:tab/>
        </w:r>
        <w:r w:rsidRPr="00227F3C">
          <w:rPr>
            <w:b/>
            <w:bCs/>
          </w:rPr>
          <w:fldChar w:fldCharType="begin"/>
        </w:r>
        <w:r w:rsidRPr="00227F3C">
          <w:rPr>
            <w:b/>
            <w:bCs/>
          </w:rPr>
          <w:instrText xml:space="preserve"> PAGE   \* MERGEFORMAT </w:instrText>
        </w:r>
        <w:r w:rsidRPr="00227F3C">
          <w:rPr>
            <w:b/>
            <w:bCs/>
          </w:rPr>
          <w:fldChar w:fldCharType="separate"/>
        </w:r>
        <w:r w:rsidRPr="00227F3C">
          <w:rPr>
            <w:b/>
            <w:bCs/>
            <w:noProof/>
          </w:rPr>
          <w:t>2</w:t>
        </w:r>
        <w:r w:rsidRPr="00227F3C">
          <w:rPr>
            <w:b/>
            <w:bCs/>
            <w:noProof/>
          </w:rPr>
          <w:fldChar w:fldCharType="end"/>
        </w:r>
        <w:r w:rsidRPr="00227F3C">
          <w:rPr>
            <w:b/>
            <w:bCs/>
            <w:noProof/>
          </w:rPr>
          <w:t xml:space="preserve"> of </w:t>
        </w:r>
        <w:r w:rsidR="00C93F32">
          <w:rPr>
            <w:b/>
            <w:bCs/>
            <w:noProof/>
          </w:rPr>
          <w:t>8</w:t>
        </w:r>
      </w:p>
    </w:sdtContent>
  </w:sdt>
  <w:p w14:paraId="6A3CF3CB" w14:textId="77777777" w:rsidR="00227F3C" w:rsidRPr="00227F3C" w:rsidRDefault="00227F3C">
    <w:pP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FB148" w14:textId="77777777" w:rsidR="00772C44" w:rsidRDefault="00772C44" w:rsidP="00227F3C">
      <w:r>
        <w:separator/>
      </w:r>
    </w:p>
  </w:footnote>
  <w:footnote w:type="continuationSeparator" w:id="0">
    <w:p w14:paraId="2FDCE685" w14:textId="77777777" w:rsidR="00772C44" w:rsidRDefault="00772C44" w:rsidP="00227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1D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0F7083E"/>
    <w:multiLevelType w:val="hybridMultilevel"/>
    <w:tmpl w:val="DA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96ACC"/>
    <w:multiLevelType w:val="hybridMultilevel"/>
    <w:tmpl w:val="14264AA0"/>
    <w:lvl w:ilvl="0" w:tplc="6AE8ACA8">
      <w:start w:val="1"/>
      <w:numFmt w:val="upperRoman"/>
      <w:lvlText w:val="%1."/>
      <w:lvlJc w:val="righ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A738E"/>
    <w:multiLevelType w:val="hybridMultilevel"/>
    <w:tmpl w:val="CFAA3E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E20F69"/>
    <w:multiLevelType w:val="hybridMultilevel"/>
    <w:tmpl w:val="CFFEDC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C27A80"/>
    <w:multiLevelType w:val="hybridMultilevel"/>
    <w:tmpl w:val="ABDEF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E14B05"/>
    <w:multiLevelType w:val="hybridMultilevel"/>
    <w:tmpl w:val="99FCCE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51DEC"/>
    <w:multiLevelType w:val="hybridMultilevel"/>
    <w:tmpl w:val="593A5A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801412">
    <w:abstractNumId w:val="1"/>
  </w:num>
  <w:num w:numId="2" w16cid:durableId="1631470620">
    <w:abstractNumId w:val="6"/>
  </w:num>
  <w:num w:numId="3" w16cid:durableId="1509835152">
    <w:abstractNumId w:val="0"/>
  </w:num>
  <w:num w:numId="4" w16cid:durableId="1951549964">
    <w:abstractNumId w:val="4"/>
  </w:num>
  <w:num w:numId="5" w16cid:durableId="1763988406">
    <w:abstractNumId w:val="2"/>
  </w:num>
  <w:num w:numId="6" w16cid:durableId="544871136">
    <w:abstractNumId w:val="3"/>
  </w:num>
  <w:num w:numId="7" w16cid:durableId="2083140226">
    <w:abstractNumId w:val="7"/>
  </w:num>
  <w:num w:numId="8" w16cid:durableId="3199633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106"/>
    <w:rsid w:val="000118C0"/>
    <w:rsid w:val="00060278"/>
    <w:rsid w:val="00060F3A"/>
    <w:rsid w:val="000B0707"/>
    <w:rsid w:val="000B38FD"/>
    <w:rsid w:val="000D72BD"/>
    <w:rsid w:val="000E6187"/>
    <w:rsid w:val="0011701A"/>
    <w:rsid w:val="001173F6"/>
    <w:rsid w:val="00117EFD"/>
    <w:rsid w:val="00135439"/>
    <w:rsid w:val="00156968"/>
    <w:rsid w:val="00175931"/>
    <w:rsid w:val="001B621F"/>
    <w:rsid w:val="001D1104"/>
    <w:rsid w:val="001D1943"/>
    <w:rsid w:val="001D337F"/>
    <w:rsid w:val="001E16C8"/>
    <w:rsid w:val="001E74BE"/>
    <w:rsid w:val="00222632"/>
    <w:rsid w:val="00227F3C"/>
    <w:rsid w:val="00266FEE"/>
    <w:rsid w:val="00295E6E"/>
    <w:rsid w:val="002B669F"/>
    <w:rsid w:val="002F3773"/>
    <w:rsid w:val="00302C28"/>
    <w:rsid w:val="0031147F"/>
    <w:rsid w:val="00330766"/>
    <w:rsid w:val="003641DE"/>
    <w:rsid w:val="003806FC"/>
    <w:rsid w:val="003D13E7"/>
    <w:rsid w:val="00415585"/>
    <w:rsid w:val="00425EA3"/>
    <w:rsid w:val="00431F5B"/>
    <w:rsid w:val="004A0ED2"/>
    <w:rsid w:val="004D17FD"/>
    <w:rsid w:val="004E289A"/>
    <w:rsid w:val="0053532F"/>
    <w:rsid w:val="00547D44"/>
    <w:rsid w:val="005551B6"/>
    <w:rsid w:val="005609BB"/>
    <w:rsid w:val="005638FA"/>
    <w:rsid w:val="005717A5"/>
    <w:rsid w:val="00587DDA"/>
    <w:rsid w:val="005A1A9D"/>
    <w:rsid w:val="005A74B0"/>
    <w:rsid w:val="006354D6"/>
    <w:rsid w:val="006535E1"/>
    <w:rsid w:val="006E0E2A"/>
    <w:rsid w:val="00746E72"/>
    <w:rsid w:val="00772C44"/>
    <w:rsid w:val="00776B5B"/>
    <w:rsid w:val="00794255"/>
    <w:rsid w:val="007A0386"/>
    <w:rsid w:val="007A1CE4"/>
    <w:rsid w:val="007B5334"/>
    <w:rsid w:val="007B7A33"/>
    <w:rsid w:val="007D6198"/>
    <w:rsid w:val="0082257D"/>
    <w:rsid w:val="0087067C"/>
    <w:rsid w:val="008C0DA0"/>
    <w:rsid w:val="008D00B5"/>
    <w:rsid w:val="008E5F82"/>
    <w:rsid w:val="00972AB8"/>
    <w:rsid w:val="009824D6"/>
    <w:rsid w:val="0098574D"/>
    <w:rsid w:val="0099587B"/>
    <w:rsid w:val="009B4A99"/>
    <w:rsid w:val="009E35A8"/>
    <w:rsid w:val="009E7A61"/>
    <w:rsid w:val="00A05B04"/>
    <w:rsid w:val="00A0673B"/>
    <w:rsid w:val="00A418C4"/>
    <w:rsid w:val="00AB589A"/>
    <w:rsid w:val="00AD282D"/>
    <w:rsid w:val="00AF46B6"/>
    <w:rsid w:val="00B10B2A"/>
    <w:rsid w:val="00B12785"/>
    <w:rsid w:val="00B517CC"/>
    <w:rsid w:val="00B613A1"/>
    <w:rsid w:val="00B62F24"/>
    <w:rsid w:val="00B8014C"/>
    <w:rsid w:val="00B81420"/>
    <w:rsid w:val="00B871EF"/>
    <w:rsid w:val="00B9067D"/>
    <w:rsid w:val="00BB57C7"/>
    <w:rsid w:val="00C01626"/>
    <w:rsid w:val="00C471D1"/>
    <w:rsid w:val="00C55EDD"/>
    <w:rsid w:val="00C655E0"/>
    <w:rsid w:val="00C70106"/>
    <w:rsid w:val="00C93F32"/>
    <w:rsid w:val="00CA00C6"/>
    <w:rsid w:val="00CD390C"/>
    <w:rsid w:val="00CF3800"/>
    <w:rsid w:val="00CF3E41"/>
    <w:rsid w:val="00D10740"/>
    <w:rsid w:val="00D364F2"/>
    <w:rsid w:val="00D50488"/>
    <w:rsid w:val="00DF1E27"/>
    <w:rsid w:val="00E10606"/>
    <w:rsid w:val="00E25B5D"/>
    <w:rsid w:val="00E45BF4"/>
    <w:rsid w:val="00E6755E"/>
    <w:rsid w:val="00E71143"/>
    <w:rsid w:val="00EA5F16"/>
    <w:rsid w:val="00ED2AEA"/>
    <w:rsid w:val="00F012F0"/>
    <w:rsid w:val="00F03903"/>
    <w:rsid w:val="00F95E6A"/>
    <w:rsid w:val="00FB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D0788"/>
  <w15:chartTrackingRefBased/>
  <w15:docId w15:val="{50FDB7CC-232F-4ED7-8AE5-EA79A4F8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06"/>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6354D6"/>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54D6"/>
    <w:pPr>
      <w:keepNext/>
      <w:keepLines/>
      <w:numPr>
        <w:ilvl w:val="1"/>
        <w:numId w:val="3"/>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354D6"/>
    <w:pPr>
      <w:keepNext/>
      <w:keepLines/>
      <w:numPr>
        <w:ilvl w:val="2"/>
        <w:numId w:val="3"/>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354D6"/>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54D6"/>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54D6"/>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54D6"/>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54D6"/>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54D6"/>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FEE"/>
    <w:rPr>
      <w:color w:val="0563C1" w:themeColor="hyperlink"/>
      <w:u w:val="single"/>
    </w:rPr>
  </w:style>
  <w:style w:type="character" w:customStyle="1" w:styleId="UnresolvedMention1">
    <w:name w:val="Unresolved Mention1"/>
    <w:basedOn w:val="DefaultParagraphFont"/>
    <w:uiPriority w:val="99"/>
    <w:semiHidden/>
    <w:unhideWhenUsed/>
    <w:rsid w:val="00266FEE"/>
    <w:rPr>
      <w:color w:val="605E5C"/>
      <w:shd w:val="clear" w:color="auto" w:fill="E1DFDD"/>
    </w:rPr>
  </w:style>
  <w:style w:type="paragraph" w:styleId="ListParagraph">
    <w:name w:val="List Paragraph"/>
    <w:basedOn w:val="Normal"/>
    <w:uiPriority w:val="34"/>
    <w:qFormat/>
    <w:rsid w:val="006354D6"/>
    <w:pPr>
      <w:ind w:left="720"/>
      <w:contextualSpacing/>
    </w:pPr>
  </w:style>
  <w:style w:type="character" w:customStyle="1" w:styleId="Heading1Char">
    <w:name w:val="Heading 1 Char"/>
    <w:basedOn w:val="DefaultParagraphFont"/>
    <w:link w:val="Heading1"/>
    <w:uiPriority w:val="9"/>
    <w:rsid w:val="006354D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54D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354D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354D6"/>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6354D6"/>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6354D6"/>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6354D6"/>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6354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54D6"/>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5638FA"/>
    <w:pPr>
      <w:spacing w:after="0" w:line="240" w:lineRule="auto"/>
    </w:pPr>
    <w:rPr>
      <w:rFonts w:ascii="Times New Roman" w:eastAsia="Calibri" w:hAnsi="Times New Roman" w:cs="Times New Roman"/>
      <w:sz w:val="24"/>
      <w:szCs w:val="24"/>
    </w:rPr>
  </w:style>
  <w:style w:type="paragraph" w:styleId="TOC1">
    <w:name w:val="toc 1"/>
    <w:basedOn w:val="Normal"/>
    <w:next w:val="Normal"/>
    <w:autoRedefine/>
    <w:uiPriority w:val="39"/>
    <w:unhideWhenUsed/>
    <w:rsid w:val="00135439"/>
    <w:pPr>
      <w:spacing w:after="100"/>
    </w:pPr>
  </w:style>
  <w:style w:type="character" w:styleId="CommentReference">
    <w:name w:val="annotation reference"/>
    <w:basedOn w:val="DefaultParagraphFont"/>
    <w:uiPriority w:val="99"/>
    <w:semiHidden/>
    <w:unhideWhenUsed/>
    <w:rsid w:val="00BB57C7"/>
    <w:rPr>
      <w:sz w:val="16"/>
      <w:szCs w:val="16"/>
    </w:rPr>
  </w:style>
  <w:style w:type="paragraph" w:styleId="CommentText">
    <w:name w:val="annotation text"/>
    <w:basedOn w:val="Normal"/>
    <w:link w:val="CommentTextChar"/>
    <w:uiPriority w:val="99"/>
    <w:unhideWhenUsed/>
    <w:rsid w:val="00BB57C7"/>
    <w:rPr>
      <w:sz w:val="20"/>
      <w:szCs w:val="20"/>
    </w:rPr>
  </w:style>
  <w:style w:type="character" w:customStyle="1" w:styleId="CommentTextChar">
    <w:name w:val="Comment Text Char"/>
    <w:basedOn w:val="DefaultParagraphFont"/>
    <w:link w:val="CommentText"/>
    <w:uiPriority w:val="99"/>
    <w:rsid w:val="00BB57C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7C7"/>
    <w:rPr>
      <w:b/>
      <w:bCs/>
    </w:rPr>
  </w:style>
  <w:style w:type="character" w:customStyle="1" w:styleId="CommentSubjectChar">
    <w:name w:val="Comment Subject Char"/>
    <w:basedOn w:val="CommentTextChar"/>
    <w:link w:val="CommentSubject"/>
    <w:uiPriority w:val="99"/>
    <w:semiHidden/>
    <w:rsid w:val="00BB57C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BB57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7C7"/>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05B04"/>
    <w:rPr>
      <w:color w:val="605E5C"/>
      <w:shd w:val="clear" w:color="auto" w:fill="E1DFDD"/>
    </w:rPr>
  </w:style>
  <w:style w:type="character" w:styleId="FollowedHyperlink">
    <w:name w:val="FollowedHyperlink"/>
    <w:basedOn w:val="DefaultParagraphFont"/>
    <w:uiPriority w:val="99"/>
    <w:semiHidden/>
    <w:unhideWhenUsed/>
    <w:rsid w:val="00A05B04"/>
    <w:rPr>
      <w:color w:val="954F72" w:themeColor="followedHyperlink"/>
      <w:u w:val="single"/>
    </w:rPr>
  </w:style>
  <w:style w:type="paragraph" w:styleId="Header">
    <w:name w:val="header"/>
    <w:basedOn w:val="Normal"/>
    <w:link w:val="HeaderChar"/>
    <w:uiPriority w:val="99"/>
    <w:unhideWhenUsed/>
    <w:rsid w:val="00227F3C"/>
    <w:pPr>
      <w:tabs>
        <w:tab w:val="center" w:pos="4680"/>
        <w:tab w:val="right" w:pos="9360"/>
      </w:tabs>
    </w:pPr>
  </w:style>
  <w:style w:type="character" w:customStyle="1" w:styleId="HeaderChar">
    <w:name w:val="Header Char"/>
    <w:basedOn w:val="DefaultParagraphFont"/>
    <w:link w:val="Header"/>
    <w:uiPriority w:val="99"/>
    <w:rsid w:val="00227F3C"/>
    <w:rPr>
      <w:rFonts w:ascii="Times New Roman" w:eastAsia="Calibri" w:hAnsi="Times New Roman" w:cs="Times New Roman"/>
      <w:sz w:val="24"/>
      <w:szCs w:val="24"/>
    </w:rPr>
  </w:style>
  <w:style w:type="paragraph" w:styleId="Footer">
    <w:name w:val="footer"/>
    <w:basedOn w:val="Normal"/>
    <w:link w:val="FooterChar"/>
    <w:uiPriority w:val="99"/>
    <w:unhideWhenUsed/>
    <w:rsid w:val="00227F3C"/>
    <w:pPr>
      <w:tabs>
        <w:tab w:val="center" w:pos="4680"/>
        <w:tab w:val="right" w:pos="9360"/>
      </w:tabs>
    </w:pPr>
  </w:style>
  <w:style w:type="character" w:customStyle="1" w:styleId="FooterChar">
    <w:name w:val="Footer Char"/>
    <w:basedOn w:val="DefaultParagraphFont"/>
    <w:link w:val="Footer"/>
    <w:uiPriority w:val="99"/>
    <w:rsid w:val="00227F3C"/>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nielle.davis2@maryland.gov" TargetMode="External"/><Relationship Id="rId18" Type="http://schemas.openxmlformats.org/officeDocument/2006/relationships/hyperlink" Target="http://GOSBA.maryland.gov/Pages/Reporting-Tool-MBE.aspx%20" TargetMode="External"/><Relationship Id="rId26" Type="http://schemas.openxmlformats.org/officeDocument/2006/relationships/hyperlink" Target="mailto:Danielle.Davis2@maryland.gov" TargetMode="External"/><Relationship Id="rId3" Type="http://schemas.openxmlformats.org/officeDocument/2006/relationships/customXml" Target="../customXml/item3.xml"/><Relationship Id="rId21" Type="http://schemas.openxmlformats.org/officeDocument/2006/relationships/hyperlink" Target="https://gomdsmallbiz.maryland.gov/Pages/Reporting-Tool-VSBE.aspx" TargetMode="External"/><Relationship Id="rId7" Type="http://schemas.openxmlformats.org/officeDocument/2006/relationships/webSettings" Target="webSettings.xml"/><Relationship Id="rId12" Type="http://schemas.openxmlformats.org/officeDocument/2006/relationships/hyperlink" Target="mailto:danielle.davis2@maryland.gov" TargetMode="External"/><Relationship Id="rId17" Type="http://schemas.openxmlformats.org/officeDocument/2006/relationships/image" Target="media/image4.png"/><Relationship Id="rId25" Type="http://schemas.openxmlformats.org/officeDocument/2006/relationships/hyperlink" Target="mailto:vsbereports.gosba@maryland.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danielle.davis2@maryland.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styles" Target="styles.xml"/><Relationship Id="rId15" Type="http://schemas.openxmlformats.org/officeDocument/2006/relationships/hyperlink" Target="https://net.md.gov/apps/answers/"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GOSBA_Annual%20Report_FY202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vsbereports.gosba@maryland.gov" TargetMode="External"/><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2753AD7BF4F43A933F6B37C45FA7A" ma:contentTypeVersion="1" ma:contentTypeDescription="Create a new document." ma:contentTypeScope="" ma:versionID="920bf7f9c3481dd6b55a317096a76b77">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9286C3-3F3F-4B7C-93B4-CE47F6AAA6D8}"/>
</file>

<file path=customXml/itemProps2.xml><?xml version="1.0" encoding="utf-8"?>
<ds:datastoreItem xmlns:ds="http://schemas.openxmlformats.org/officeDocument/2006/customXml" ds:itemID="{7F7CF7AD-5B1C-4168-8844-5ADA61E63618}"/>
</file>

<file path=customXml/itemProps3.xml><?xml version="1.0" encoding="utf-8"?>
<ds:datastoreItem xmlns:ds="http://schemas.openxmlformats.org/officeDocument/2006/customXml" ds:itemID="{B850DE7D-D1AC-421F-AAE5-263630B505DA}"/>
</file>

<file path=docProps/app.xml><?xml version="1.0" encoding="utf-8"?>
<Properties xmlns="http://schemas.openxmlformats.org/officeDocument/2006/extended-properties" xmlns:vt="http://schemas.openxmlformats.org/officeDocument/2006/docPropsVTypes">
  <Template>Normal</Template>
  <TotalTime>1709</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Nichelle Johnson</dc:creator>
  <cp:keywords/>
  <dc:description/>
  <cp:lastModifiedBy>Danielle Davis</cp:lastModifiedBy>
  <cp:revision>43</cp:revision>
  <cp:lastPrinted>2021-09-16T19:13:00Z</cp:lastPrinted>
  <dcterms:created xsi:type="dcterms:W3CDTF">2022-06-28T14:45:00Z</dcterms:created>
  <dcterms:modified xsi:type="dcterms:W3CDTF">2022-07-01T14:48:00Z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0x010100DFC2753AD7BF4F43A933F6B37C45FA7A</vt:lpwstr>
  </property>
  <property fmtid="{D5CDD505-2E9C-101B-9397-08002B2CF9AE}" pid="3" name="Order">
    <vt:r8>58100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