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6310AC39" w:rsidR="00474E67" w:rsidRDefault="00034152" w:rsidP="00111202">
      <w:pPr>
        <w:spacing w:after="0" w:line="240" w:lineRule="auto"/>
        <w:contextualSpacing/>
        <w:rPr>
          <w:rFonts w:asciiTheme="majorHAnsi" w:eastAsiaTheme="majorEastAsia" w:hAnsiTheme="majorHAnsi" w:cstheme="majorBidi"/>
          <w:spacing w:val="-10"/>
          <w:kern w:val="28"/>
          <w:sz w:val="52"/>
          <w:szCs w:val="56"/>
        </w:rPr>
      </w:pPr>
      <w:r>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490D284C">
                <wp:simplePos x="0" y="0"/>
                <wp:positionH relativeFrom="column">
                  <wp:posOffset>-91440</wp:posOffset>
                </wp:positionH>
                <wp:positionV relativeFrom="paragraph">
                  <wp:posOffset>278130</wp:posOffset>
                </wp:positionV>
                <wp:extent cx="4813300" cy="1314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314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7777777" w:rsidR="000F6B80" w:rsidRDefault="00474E67" w:rsidP="00474E67">
                            <w:pPr>
                              <w:pStyle w:val="NormalWeb"/>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sz w:val="22"/>
                                <w:szCs w:val="22"/>
                              </w:rPr>
                              <w:t xml:space="preserve">  </w:t>
                            </w: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3F36312B" w:rsidR="00474E67" w:rsidRDefault="00474E67" w:rsidP="00474E67">
                            <w:pPr>
                              <w:pStyle w:val="NormalWeb"/>
                              <w:kinsoku w:val="0"/>
                              <w:overflowPunct w:val="0"/>
                              <w:spacing w:before="0" w:beforeAutospacing="0" w:after="0" w:afterAutospacing="0"/>
                              <w:textAlignment w:val="baseline"/>
                            </w:pP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10BD9A91">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1E6EB817">
                                  <wp:extent cx="2133600" cy="220980"/>
                                  <wp:effectExtent l="0" t="0" r="0" b="762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80" t="50312" b="12421"/>
                                          <a:stretch/>
                                        </pic:blipFill>
                                        <pic:spPr bwMode="auto">
                                          <a:xfrm>
                                            <a:off x="0" y="0"/>
                                            <a:ext cx="2144095" cy="222067"/>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on the left.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2pt;margin-top:21.9pt;width:379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" filled="f" fillcolor="#5b9bd5 [3204]" stroked="f" strokecolor="black [3213]">
                <v:shadow color="#e7e6e6 [3214]"/>
                <v:textbox>
                  <w:txbxContent>
                    <w:p w14:paraId="5EDC8D73" w14:textId="77777777" w:rsidR="000F6B80" w:rsidRDefault="00474E67" w:rsidP="00474E67">
                      <w:pPr>
                        <w:pStyle w:val="NormalWeb"/>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sz w:val="22"/>
                          <w:szCs w:val="22"/>
                        </w:rPr>
                        <w:t xml:space="preserve">  </w:t>
                      </w: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3F36312B" w:rsidR="00474E67" w:rsidRDefault="00474E67" w:rsidP="00474E67">
                      <w:pPr>
                        <w:pStyle w:val="NormalWeb"/>
                        <w:kinsoku w:val="0"/>
                        <w:overflowPunct w:val="0"/>
                        <w:spacing w:before="0" w:beforeAutospacing="0" w:after="0" w:afterAutospacing="0"/>
                        <w:textAlignment w:val="baseline"/>
                      </w:pP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10BD9A91">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1E6EB817">
                            <wp:extent cx="2133600" cy="220980"/>
                            <wp:effectExtent l="0" t="0" r="0" b="762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80" t="50312" b="12421"/>
                                    <a:stretch/>
                                  </pic:blipFill>
                                  <pic:spPr bwMode="auto">
                                    <a:xfrm>
                                      <a:off x="0" y="0"/>
                                      <a:ext cx="2144095" cy="222067"/>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on the left.</w:t>
                      </w:r>
                    </w:p>
                  </w:txbxContent>
                </v:textbox>
              </v:rect>
            </w:pict>
          </mc:Fallback>
        </mc:AlternateContent>
      </w:r>
    </w:p>
    <w:p w14:paraId="13E6BAFE" w14:textId="11ABF109" w:rsidR="00474E67" w:rsidRDefault="00D76AC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60800" behindDoc="0" locked="0" layoutInCell="1" allowOverlap="1" wp14:anchorId="37543524" wp14:editId="6CE5ACD4">
            <wp:simplePos x="0" y="0"/>
            <wp:positionH relativeFrom="column">
              <wp:posOffset>3375660</wp:posOffset>
            </wp:positionH>
            <wp:positionV relativeFrom="paragraph">
              <wp:posOffset>95885</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3807FE6" wp14:editId="0C94FD99">
            <wp:simplePos x="0" y="0"/>
            <wp:positionH relativeFrom="column">
              <wp:posOffset>361950</wp:posOffset>
            </wp:positionH>
            <wp:positionV relativeFrom="paragraph">
              <wp:posOffset>93980</wp:posOffset>
            </wp:positionV>
            <wp:extent cx="271780" cy="207942"/>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942"/>
                    </a:xfrm>
                    <a:prstGeom prst="rect">
                      <a:avLst/>
                    </a:prstGeom>
                    <a:noFill/>
                  </pic:spPr>
                </pic:pic>
              </a:graphicData>
            </a:graphic>
            <wp14:sizeRelV relativeFrom="margin">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15A056A7" w14:textId="7CFA4A4A" w:rsidR="008B1A30" w:rsidRPr="009A3298" w:rsidRDefault="00034152" w:rsidP="00B91B28">
      <w:pPr>
        <w:pStyle w:val="Title"/>
        <w:rPr>
          <w:sz w:val="52"/>
        </w:rPr>
      </w:pPr>
      <w:r>
        <w:rPr>
          <w:noProof/>
        </w:rPr>
        <w:drawing>
          <wp:anchor distT="0" distB="0" distL="114300" distR="114300" simplePos="0" relativeHeight="251659776" behindDoc="0" locked="0" layoutInCell="1" allowOverlap="1" wp14:anchorId="1EDBC265" wp14:editId="10BA8C4C">
            <wp:simplePos x="0" y="0"/>
            <wp:positionH relativeFrom="column">
              <wp:posOffset>-31750</wp:posOffset>
            </wp:positionH>
            <wp:positionV relativeFrom="paragraph">
              <wp:posOffset>38100</wp:posOffset>
            </wp:positionV>
            <wp:extent cx="5976620" cy="4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B1A30" w:rsidRPr="009A3298">
        <w:rPr>
          <w:sz w:val="52"/>
        </w:rPr>
        <w:t xml:space="preserve">Compliance Call </w:t>
      </w:r>
      <w:r w:rsidR="008B1A30">
        <w:rPr>
          <w:sz w:val="52"/>
        </w:rPr>
        <w:t>Library</w:t>
      </w:r>
    </w:p>
    <w:p w14:paraId="4328F6DF" w14:textId="77777777" w:rsidR="008B1A30" w:rsidRDefault="008B1A30" w:rsidP="00B91B28">
      <w:pPr>
        <w:pStyle w:val="Heading1"/>
      </w:pPr>
      <w:r>
        <w:t>General Topics</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has </w:t>
      </w:r>
      <w:r w:rsidR="000C0A62">
        <w:t xml:space="preserve">to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7"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8"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Should we count contracts as reportable when we actually do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504BEF">
      <w:pPr>
        <w:pStyle w:val="ListParagraph"/>
        <w:numPr>
          <w:ilvl w:val="0"/>
          <w:numId w:val="30"/>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77777777" w:rsidR="00504BEF" w:rsidRDefault="00504BEF" w:rsidP="00504BEF"/>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What can we do about issues with vendors, particularly MBE or SBR, not being considered essential and closing down,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Will there be any adjustments to the SBR, MBE or VSBE reporting schedules in light of present circumstances?</w:t>
      </w:r>
      <w:r>
        <w:tab/>
      </w:r>
      <w:r w:rsidRPr="00A214D9">
        <w:t>*(3/25/2020)</w:t>
      </w:r>
    </w:p>
    <w:p w14:paraId="3949ECF5" w14:textId="77777777" w:rsidR="008B1A30" w:rsidRDefault="008B1A30" w:rsidP="008B1A30">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641453E2" w14:textId="133EFE36" w:rsidR="00756EB0" w:rsidRDefault="00756EB0" w:rsidP="00756EB0">
      <w:pPr>
        <w:pStyle w:val="Heading2"/>
        <w:rPr>
          <w:b/>
        </w:rPr>
      </w:pPr>
      <w:r>
        <w:rPr>
          <w:b/>
        </w:rPr>
        <w:t>MBE Forms</w:t>
      </w:r>
      <w:r w:rsidR="00283F11">
        <w:rPr>
          <w:b/>
        </w:rPr>
        <w:t xml:space="preserve"> </w:t>
      </w:r>
    </w:p>
    <w:p w14:paraId="7AE2FFFB" w14:textId="77777777" w:rsidR="00756EB0" w:rsidRDefault="00756EB0" w:rsidP="00756EB0">
      <w:pPr>
        <w:pStyle w:val="Heading3"/>
        <w:ind w:left="720"/>
      </w:pPr>
      <w:r>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77777777" w:rsidR="00DE36F2" w:rsidRDefault="00DE36F2" w:rsidP="00DE36F2">
      <w:pPr>
        <w:pStyle w:val="ListParagraph"/>
        <w:numPr>
          <w:ilvl w:val="0"/>
          <w:numId w:val="21"/>
        </w:numPr>
      </w:pPr>
      <w:r>
        <w:t>What is the required for a MBE or VSBE Waiver?</w:t>
      </w:r>
    </w:p>
    <w:p w14:paraId="35E3E7AC" w14:textId="77777777" w:rsidR="00DE36F2" w:rsidRDefault="00DE36F2" w:rsidP="00DE36F2">
      <w:pPr>
        <w:pStyle w:val="ListParagraph"/>
        <w:numPr>
          <w:ilvl w:val="0"/>
          <w:numId w:val="22"/>
        </w:numPr>
      </w:pPr>
      <w:r>
        <w:t xml:space="preserve">Agencies must ensure that a contract award is not made until a recommended awardee has committed to the established MBE or VSBE participation goals, if any, through the use of certified MBEs / VSBEs or has requested a waiver and demonstrated a good faith effort to meet the goals.  </w:t>
      </w:r>
    </w:p>
    <w:p w14:paraId="033B93F2" w14:textId="77777777" w:rsidR="00DE36F2" w:rsidRDefault="00DE36F2" w:rsidP="00DE36F2">
      <w:pPr>
        <w:pStyle w:val="ListParagraph"/>
        <w:numPr>
          <w:ilvl w:val="0"/>
          <w:numId w:val="22"/>
        </w:numPr>
      </w:pPr>
      <w:r>
        <w:t xml:space="preserve">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make a determination whether the recommended awardee made a good faith effort to try to obtain MBE /VSBE  subcontractor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DE36F2">
      <w:pPr>
        <w:pStyle w:val="ListParagraph"/>
        <w:numPr>
          <w:ilvl w:val="0"/>
          <w:numId w:val="22"/>
        </w:numPr>
      </w:pPr>
      <w:r>
        <w:t>Supporting Documentation Includes:</w:t>
      </w:r>
    </w:p>
    <w:p w14:paraId="70FFC978" w14:textId="77777777" w:rsidR="00DE36F2" w:rsidRDefault="00DE36F2" w:rsidP="00DE36F2">
      <w:pPr>
        <w:pStyle w:val="ListParagraph"/>
        <w:numPr>
          <w:ilvl w:val="1"/>
          <w:numId w:val="22"/>
        </w:numPr>
      </w:pPr>
      <w:r>
        <w:t>MBE or VSBE Forms Waiver Documents (from Attachment D &amp; E)</w:t>
      </w:r>
    </w:p>
    <w:p w14:paraId="1FE0EA8B" w14:textId="77777777" w:rsidR="00DE36F2" w:rsidRDefault="00DE36F2" w:rsidP="00DE36F2">
      <w:pPr>
        <w:pStyle w:val="ListParagraph"/>
        <w:numPr>
          <w:ilvl w:val="1"/>
          <w:numId w:val="22"/>
        </w:numPr>
      </w:pPr>
      <w:r>
        <w:t>All documentation listed in COMAR 21.11.03.11.</w:t>
      </w:r>
    </w:p>
    <w:p w14:paraId="1292AA58" w14:textId="77777777" w:rsidR="00DE36F2" w:rsidRDefault="00DE36F2" w:rsidP="00DE36F2">
      <w:pPr>
        <w:pStyle w:val="ListParagraph"/>
        <w:numPr>
          <w:ilvl w:val="0"/>
          <w:numId w:val="22"/>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t>(a) Good Faith Efforts Documentation to Support Waiver Request (Attachment D-1C)</w:t>
      </w:r>
    </w:p>
    <w:p w14:paraId="599E144A" w14:textId="77777777" w:rsidR="00DE36F2" w:rsidRDefault="00DE36F2" w:rsidP="00DE36F2">
      <w:pPr>
        <w:ind w:left="1080"/>
      </w:pPr>
      <w:r>
        <w:t>(b) Outreach Efforts Compliance Statement (Attachment D-2);</w:t>
      </w:r>
    </w:p>
    <w:p w14:paraId="207D3B9E" w14:textId="77777777" w:rsidR="00DE36F2" w:rsidRDefault="00DE36F2" w:rsidP="00DE36F2">
      <w:pPr>
        <w:ind w:left="1080"/>
      </w:pPr>
      <w:r>
        <w:t>(c) MBE Subcontractor/MBE Prime Project Participation Statement (Attachments D-3A and</w:t>
      </w:r>
    </w:p>
    <w:p w14:paraId="7F64E2FA" w14:textId="77777777" w:rsidR="00DE36F2" w:rsidRDefault="00DE36F2" w:rsidP="00DE36F2">
      <w:pPr>
        <w:ind w:left="1080"/>
      </w:pPr>
      <w:r>
        <w:t>3B);</w:t>
      </w:r>
    </w:p>
    <w:p w14:paraId="5C649511" w14:textId="77777777" w:rsidR="00DE36F2" w:rsidRPr="00DE36F2" w:rsidRDefault="00DE36F2" w:rsidP="00DE36F2">
      <w:pPr>
        <w:ind w:left="1080"/>
      </w:pPr>
      <w:r>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77777777" w:rsidR="00756EB0" w:rsidRDefault="00756EB0" w:rsidP="00756EB0">
      <w:pPr>
        <w:pStyle w:val="Heading4"/>
      </w:pPr>
      <w:r>
        <w:t>MBE Form Amendments;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77777777" w:rsidR="00756EB0" w:rsidRDefault="00756EB0" w:rsidP="00756EB0">
      <w:pPr>
        <w:ind w:left="1440"/>
      </w:pPr>
      <w:r>
        <w:t>(a) Showing good cause why the contract with the certified MBE should be terminated or cancelled;</w:t>
      </w:r>
    </w:p>
    <w:p w14:paraId="405426E6" w14:textId="77777777" w:rsidR="00756EB0" w:rsidRDefault="00756EB0" w:rsidP="00756EB0">
      <w:pPr>
        <w:ind w:left="1440"/>
      </w:pPr>
      <w:r>
        <w:t>(b) Obtaining the prior written consent of the MBE liaison;</w:t>
      </w:r>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77777777" w:rsidR="00756EB0" w:rsidRDefault="00756EB0" w:rsidP="00756EB0">
      <w:pPr>
        <w:pStyle w:val="Heading4"/>
      </w:pPr>
      <w:r w:rsidRPr="00EE7892">
        <w:t>GOSBA has received several scenarios from MBE Liaisons concerning making changes to current contracts such as removing MBE's  or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MBE participation schedules should not be changed unless for good cause (such as the named MBE firm loses certification, declines to complete the work, or is 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544A2558" w14:textId="77777777" w:rsidR="00851755" w:rsidRPr="00851755" w:rsidRDefault="00851755" w:rsidP="00851755"/>
    <w:p w14:paraId="3B879662" w14:textId="72AB2C24" w:rsidR="00A84959" w:rsidRDefault="00A84959" w:rsidP="00A84959">
      <w:pPr>
        <w:pStyle w:val="Heading2"/>
        <w:rPr>
          <w:b/>
          <w:bCs/>
        </w:rPr>
      </w:pPr>
      <w:r w:rsidRPr="00A84959">
        <w:rPr>
          <w:b/>
          <w:bCs/>
        </w:rPr>
        <w:t>MBE Liaisons</w:t>
      </w:r>
      <w:r>
        <w:rPr>
          <w:b/>
          <w:bCs/>
        </w:rPr>
        <w:t xml:space="preserve"> </w:t>
      </w:r>
    </w:p>
    <w:p w14:paraId="5BA0F947" w14:textId="77777777" w:rsidR="00A84959" w:rsidRDefault="00A84959" w:rsidP="00A84959">
      <w:pPr>
        <w:pStyle w:val="Heading3"/>
        <w:ind w:left="720"/>
      </w:pPr>
      <w:r>
        <w:t>Collaboration</w:t>
      </w:r>
    </w:p>
    <w:p w14:paraId="4988042A" w14:textId="77777777" w:rsidR="00A84959" w:rsidRDefault="00A84959" w:rsidP="00A84959">
      <w:pPr>
        <w:pStyle w:val="Heading4"/>
      </w:pPr>
      <w:r>
        <w:t>The three-pronged approach to collaboration * (11/12/2020)</w:t>
      </w:r>
    </w:p>
    <w:p w14:paraId="0214A444" w14:textId="77777777" w:rsidR="00A84959" w:rsidRDefault="00A84959" w:rsidP="00A84959">
      <w:pPr>
        <w:pStyle w:val="ListParagraph"/>
        <w:numPr>
          <w:ilvl w:val="0"/>
          <w:numId w:val="25"/>
        </w:numPr>
      </w:pPr>
      <w:r>
        <w:t>GOSBA would prefer if Liaisons would consider a three-pronged approach to Collaboration:</w:t>
      </w:r>
    </w:p>
    <w:p w14:paraId="6CEE727B" w14:textId="77777777" w:rsidR="00A84959" w:rsidRDefault="00A84959" w:rsidP="00A84959">
      <w:pPr>
        <w:pStyle w:val="ListParagraph"/>
        <w:numPr>
          <w:ilvl w:val="1"/>
          <w:numId w:val="27"/>
        </w:numPr>
      </w:pPr>
      <w:r>
        <w:t>Liaisons should collaborate among colleagues (especially procurement officers and the agency AG), and each other in order to share experiences, best practices, and solutions or work arounds to common problems and to solve issues or receive advice.</w:t>
      </w:r>
    </w:p>
    <w:p w14:paraId="12AAD838" w14:textId="77777777" w:rsidR="00A84959" w:rsidRDefault="00A84959" w:rsidP="00A84959">
      <w:pPr>
        <w:pStyle w:val="ListParagraph"/>
        <w:numPr>
          <w:ilvl w:val="1"/>
          <w:numId w:val="27"/>
        </w:numPr>
      </w:pPr>
      <w:r>
        <w:t xml:space="preserve">Liaisons should collaborate with our office.  When a Liaison is experiencing issues, has questions, needs clarification, is approached for assistance from a MBE/SBR/VSBE firm or Prime, after speaking with the Prime, the MBE firm, procurement staff and the agency AG, reach out to GOSBA for assistance. </w:t>
      </w:r>
    </w:p>
    <w:p w14:paraId="3F358661" w14:textId="77777777" w:rsidR="00A84959" w:rsidRPr="00A84959" w:rsidRDefault="00A84959" w:rsidP="00A84959">
      <w:pPr>
        <w:pStyle w:val="ListParagraph"/>
        <w:numPr>
          <w:ilvl w:val="1"/>
          <w:numId w:val="27"/>
        </w:numPr>
      </w:pPr>
      <w:r>
        <w:t>Liaisons should also be collaborating with certified Prime and subcontractors in order to notify them of small procurements, and when there are subcontracting opportunities on larger procurements.  Also, this helps when agencies are planning events like "Meet the Prime's" or other outreach events.</w:t>
      </w:r>
    </w:p>
    <w:p w14:paraId="03710D43" w14:textId="77777777" w:rsidR="008B1A30" w:rsidRDefault="008B1A30" w:rsidP="00B91B28">
      <w:pPr>
        <w:pStyle w:val="Heading2"/>
        <w:rPr>
          <w:b/>
        </w:rPr>
      </w:pPr>
      <w:r>
        <w:rPr>
          <w:b/>
        </w:rPr>
        <w:t>New Legislation</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In reviewing this legislation, it appears that only those companies with DBE Certification and eligible under the current MDOT MBE certification requirements, will be given MBE certification. 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77777777" w:rsidR="008B1A30" w:rsidRPr="00426919"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19" w:history="1">
        <w:r w:rsidRPr="00AA1A65">
          <w:rPr>
            <w:rStyle w:val="Hyperlink"/>
          </w:rPr>
          <w:t>BPW Advisory 2001-1</w:t>
        </w:r>
      </w:hyperlink>
      <w:r w:rsidRPr="007F465F">
        <w:t xml:space="preserve">, the </w:t>
      </w:r>
      <w:hyperlink r:id="rId20" w:history="1">
        <w:r w:rsidRPr="00AA1A65">
          <w:rPr>
            <w:rStyle w:val="Hyperlink"/>
          </w:rPr>
          <w:t>Subgoal Guidance</w:t>
        </w:r>
      </w:hyperlink>
      <w:r w:rsidRPr="007F465F">
        <w:t xml:space="preserve">, and the </w:t>
      </w:r>
      <w:hyperlink r:id="rId21"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2"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77777777" w:rsidR="00756EB0" w:rsidRDefault="00756EB0" w:rsidP="00756EB0">
      <w:pPr>
        <w:pStyle w:val="ListParagraph"/>
        <w:numPr>
          <w:ilvl w:val="0"/>
          <w:numId w:val="10"/>
        </w:numPr>
      </w:pPr>
      <w:r w:rsidRPr="009723E5">
        <w:t xml:space="preserve">New Subgoals for the MBE Program are to be applied prospectively to any IFBs and RFPs issued on or after August 1, 2020 </w:t>
      </w:r>
      <w:r w:rsidR="00265558">
        <w:t>.</w:t>
      </w:r>
    </w:p>
    <w:p w14:paraId="0E44B330" w14:textId="77777777" w:rsidR="00756EB0" w:rsidRDefault="00756EB0" w:rsidP="00756EB0">
      <w:pPr>
        <w:pStyle w:val="ListParagraph"/>
        <w:numPr>
          <w:ilvl w:val="0"/>
          <w:numId w:val="10"/>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756EB0">
      <w:pPr>
        <w:pStyle w:val="ListParagraph"/>
        <w:numPr>
          <w:ilvl w:val="1"/>
          <w:numId w:val="10"/>
        </w:numPr>
      </w:pPr>
      <w:r>
        <w:t xml:space="preserve">Questions asked during call: </w:t>
      </w:r>
      <w:r w:rsidRPr="009723E5">
        <w:t>To be clear, are you saying that for example State funded contracts reviewed that will hit street after 8/1, need the new subgoal reviews</w:t>
      </w:r>
      <w:r>
        <w:t xml:space="preserve">?  </w:t>
      </w:r>
      <w:r w:rsidRPr="005C1093">
        <w:t>In regard to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77777777" w:rsidR="00756EB0" w:rsidRPr="00A83463" w:rsidRDefault="00756EB0" w:rsidP="00756EB0">
      <w:pPr>
        <w:pStyle w:val="ListParagraph"/>
        <w:numPr>
          <w:ilvl w:val="1"/>
          <w:numId w:val="10"/>
        </w:numPr>
      </w:pPr>
      <w:r>
        <w:t xml:space="preserve">Question asked during call: </w:t>
      </w:r>
      <w:r w:rsidRPr="009723E5">
        <w:t>To confirm, LEA's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756EB0">
      <w:pPr>
        <w:pStyle w:val="ListParagraph"/>
        <w:numPr>
          <w:ilvl w:val="0"/>
          <w:numId w:val="10"/>
        </w:numPr>
      </w:pPr>
      <w:r w:rsidRPr="009723E5">
        <w:t>The 2020 MBE Program Subgoal Worksheet will be accessible online from the www.procurement.maryland.gov webpage in the Procurement Staff section</w:t>
      </w:r>
      <w:r>
        <w:t>:</w:t>
      </w:r>
      <w:r w:rsidRPr="009723E5">
        <w:t xml:space="preserve"> </w:t>
      </w:r>
      <w:hyperlink r:id="rId23" w:history="1">
        <w:r w:rsidRPr="00A83463">
          <w:rPr>
            <w:color w:val="0000FF"/>
            <w:u w:val="single"/>
          </w:rPr>
          <w:t>https://procurement.maryland.gov/prg-forms/</w:t>
        </w:r>
      </w:hyperlink>
    </w:p>
    <w:p w14:paraId="2C12EDF5" w14:textId="77777777" w:rsidR="00756EB0" w:rsidRDefault="00756EB0" w:rsidP="00756EB0">
      <w:pPr>
        <w:pStyle w:val="ListParagraph"/>
        <w:numPr>
          <w:ilvl w:val="0"/>
          <w:numId w:val="10"/>
        </w:numPr>
      </w:pPr>
      <w:r w:rsidRPr="009723E5">
        <w:t>Guidance on the process for assessing whether or not to add subgoals to a procurement will remain unchanged</w:t>
      </w:r>
      <w:r w:rsidR="00265558">
        <w:t>.</w:t>
      </w:r>
    </w:p>
    <w:p w14:paraId="6D3F8952" w14:textId="77777777" w:rsidR="00756EB0" w:rsidRDefault="00756EB0" w:rsidP="00756EB0">
      <w:pPr>
        <w:pStyle w:val="ListParagraph"/>
        <w:numPr>
          <w:ilvl w:val="0"/>
          <w:numId w:val="10"/>
        </w:numPr>
      </w:pPr>
      <w:r w:rsidRPr="009723E5">
        <w:t>The new subgoals reflect an increase in the industry subgoal total for every industry with the exception of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756EB0">
      <w:pPr>
        <w:pStyle w:val="ListParagraph"/>
        <w:numPr>
          <w:ilvl w:val="0"/>
          <w:numId w:val="8"/>
        </w:numPr>
        <w:rPr>
          <w:b/>
          <w:bCs/>
        </w:rPr>
      </w:pPr>
      <w:r w:rsidRPr="00B5548F">
        <w:rPr>
          <w:b/>
          <w:bCs/>
        </w:rPr>
        <w:t>Response from Jamie Tomaszewski, DGS-OSP:</w:t>
      </w:r>
    </w:p>
    <w:p w14:paraId="18F6C1E6" w14:textId="77777777" w:rsidR="00756EB0" w:rsidRDefault="00756EB0" w:rsidP="00756EB0">
      <w:pPr>
        <w:pStyle w:val="ListParagraph"/>
      </w:pPr>
      <w:r>
        <w:t>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really unreasonable.  It's another set of eyes to help the State meet its overall goals for SBR, MBE and VSBE.</w:t>
      </w:r>
    </w:p>
    <w:p w14:paraId="4D796494" w14:textId="77777777" w:rsidR="00756EB0" w:rsidRDefault="00756EB0" w:rsidP="00756EB0">
      <w:pPr>
        <w:pStyle w:val="ListParagraph"/>
        <w:numPr>
          <w:ilvl w:val="0"/>
          <w:numId w:val="9"/>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15619B" w:rsidP="00756EB0">
      <w:pPr>
        <w:pStyle w:val="ListParagraph"/>
        <w:numPr>
          <w:ilvl w:val="0"/>
          <w:numId w:val="8"/>
        </w:numPr>
      </w:pPr>
      <w:hyperlink r:id="rId24"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77777777" w:rsidR="00AD559E" w:rsidRPr="00AD559E" w:rsidRDefault="00AD559E" w:rsidP="00AD559E">
      <w:pPr>
        <w:pStyle w:val="Heading2"/>
        <w:rPr>
          <w:b/>
          <w:bCs/>
        </w:rPr>
      </w:pPr>
      <w:r w:rsidRPr="00AD559E">
        <w:rPr>
          <w:b/>
          <w:bCs/>
        </w:rPr>
        <w:t>Program Certification</w:t>
      </w:r>
      <w:r w:rsidR="00F20A36">
        <w:rPr>
          <w:b/>
          <w:bCs/>
        </w:rPr>
        <w:t xml:space="preserve"> </w:t>
      </w:r>
    </w:p>
    <w:p w14:paraId="4EB3DCD1" w14:textId="77777777" w:rsidR="00F20A36" w:rsidRDefault="00AD559E" w:rsidP="00AD559E">
      <w:pPr>
        <w:pStyle w:val="Heading3"/>
        <w:ind w:firstLine="720"/>
      </w:pPr>
      <w:r w:rsidRPr="00AD559E">
        <w:t xml:space="preserve">MBE/SBR/VSBE </w:t>
      </w:r>
      <w:r w:rsidR="00F20A36">
        <w:t>Verification</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F20A36">
      <w:pPr>
        <w:pStyle w:val="ListParagraph"/>
        <w:numPr>
          <w:ilvl w:val="0"/>
          <w:numId w:val="23"/>
        </w:numPr>
      </w:pPr>
      <w:r w:rsidRPr="00F20A36">
        <w:t xml:space="preserve">Vendors must be certified in the specific Socioeconomic Program MBE/SBR/VSBE in order for agencies/departments to count the payment toward the program set aside or goal. </w:t>
      </w:r>
    </w:p>
    <w:p w14:paraId="2471E9C4" w14:textId="77777777" w:rsidR="00F20A36" w:rsidRDefault="00F20A36" w:rsidP="00F20A36">
      <w:pPr>
        <w:pStyle w:val="ListParagraph"/>
        <w:numPr>
          <w:ilvl w:val="0"/>
          <w:numId w:val="24"/>
        </w:numPr>
      </w:pPr>
      <w:r w:rsidRPr="00F20A36">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5" w:history="1">
        <w:r w:rsidR="001A21DD" w:rsidRPr="00425C3A">
          <w:rPr>
            <w:rStyle w:val="Hyperlink"/>
          </w:rPr>
          <w:t>https://mbe.mdot.maryland.gov/directory/</w:t>
        </w:r>
      </w:hyperlink>
      <w:r w:rsidR="001A21DD">
        <w:t xml:space="preserve"> </w:t>
      </w:r>
    </w:p>
    <w:p w14:paraId="4121D26E" w14:textId="77777777" w:rsidR="00F20A36" w:rsidRDefault="00F20A36" w:rsidP="00F20A36">
      <w:pPr>
        <w:pStyle w:val="ListParagraph"/>
        <w:numPr>
          <w:ilvl w:val="0"/>
          <w:numId w:val="24"/>
        </w:numPr>
      </w:pPr>
      <w:r w:rsidRPr="00F20A36">
        <w:t xml:space="preserve">SBR Verification: Procurement Officers can verify if vendors are SBR certified by conducting a public vendor search in eMMA using the Quick Reference Guide (QRG) "Public Vendor </w:t>
      </w:r>
      <w:proofErr w:type="spellStart"/>
      <w:r w:rsidRPr="00F20A36">
        <w:t>Serach</w:t>
      </w:r>
      <w:proofErr w:type="spellEnd"/>
      <w:r w:rsidRPr="00F20A36">
        <w:t xml:space="preserve"> for Buyers." A SBR vendor will have an SBR number listed along with an expiration date. If you do not see both of these, a vendor's certification may have expired. If you have any questions, you may contact Lisa Mitchell Sennaar or Tanita Johnson (lisa.sennaar@maryland.gov or tanita.johnson1@maryland.gov) for assistance. </w:t>
      </w:r>
    </w:p>
    <w:p w14:paraId="499291B7" w14:textId="77777777" w:rsidR="00AD559E" w:rsidRDefault="00F20A36" w:rsidP="001A21DD">
      <w:pPr>
        <w:pStyle w:val="ListParagraph"/>
        <w:numPr>
          <w:ilvl w:val="0"/>
          <w:numId w:val="24"/>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6" w:history="1">
        <w:r w:rsidR="001A21DD" w:rsidRPr="00425C3A">
          <w:rPr>
            <w:rStyle w:val="Hyperlink"/>
          </w:rPr>
          <w:t>https://procurement.maryland.gov/wp-content/uploads/sites/12/2019/12/16-eMMA-QRG-Public-Vendor-Search-for-Buyers.pdf</w:t>
        </w:r>
      </w:hyperlink>
    </w:p>
    <w:p w14:paraId="16ECE576" w14:textId="4C414681" w:rsidR="008B1A30" w:rsidRPr="00A214D9" w:rsidRDefault="008B1A30" w:rsidP="00B91B28">
      <w:pPr>
        <w:pStyle w:val="Heading2"/>
        <w:rPr>
          <w:b/>
        </w:rPr>
      </w:pPr>
      <w:r w:rsidRPr="00A214D9">
        <w:rPr>
          <w:b/>
        </w:rPr>
        <w:t>Reporting</w:t>
      </w:r>
      <w:r w:rsidR="00756EB0">
        <w:rPr>
          <w:b/>
        </w:rPr>
        <w:t xml:space="preserve"> </w:t>
      </w:r>
    </w:p>
    <w:p w14:paraId="192B9A64" w14:textId="77777777" w:rsidR="00756EB0" w:rsidRDefault="00756EB0" w:rsidP="00B91B28">
      <w:pPr>
        <w:pStyle w:val="Heading3"/>
        <w:ind w:left="720"/>
      </w:pPr>
      <w:r>
        <w:t>Annual Reporting</w:t>
      </w:r>
    </w:p>
    <w:p w14:paraId="38CE9C7C" w14:textId="77777777" w:rsidR="00902D06" w:rsidRDefault="00902D06" w:rsidP="00756EB0">
      <w:pPr>
        <w:pStyle w:val="Heading4"/>
      </w:pPr>
      <w:r>
        <w:t>ANNUAL REPORTING REMINDERS TO AGENCY HEADS</w:t>
      </w:r>
      <w:r w:rsidR="008038EC">
        <w:t xml:space="preserve"> *(9/9/2020)</w:t>
      </w:r>
    </w:p>
    <w:p w14:paraId="695616B0" w14:textId="77777777" w:rsidR="008038EC" w:rsidRDefault="008038EC" w:rsidP="008038EC">
      <w:pPr>
        <w:pStyle w:val="NoSpacing"/>
        <w:numPr>
          <w:ilvl w:val="0"/>
          <w:numId w:val="18"/>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038EC">
      <w:pPr>
        <w:pStyle w:val="NoSpacing"/>
        <w:numPr>
          <w:ilvl w:val="0"/>
          <w:numId w:val="19"/>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090998">
      <w:pPr>
        <w:pStyle w:val="ListParagraph"/>
        <w:numPr>
          <w:ilvl w:val="0"/>
          <w:numId w:val="13"/>
        </w:numPr>
      </w:pPr>
      <w:r>
        <w:t>FY2021 Procurement Forecast – Due June 30</w:t>
      </w:r>
      <w:r w:rsidRPr="00756EB0">
        <w:rPr>
          <w:vertAlign w:val="superscript"/>
        </w:rPr>
        <w:t>th</w:t>
      </w:r>
      <w:r>
        <w:t xml:space="preserve"> </w:t>
      </w:r>
    </w:p>
    <w:p w14:paraId="67227A5B" w14:textId="77777777" w:rsidR="00830EBB" w:rsidRDefault="00830EBB" w:rsidP="00830EBB">
      <w:pPr>
        <w:pStyle w:val="ListParagraph"/>
        <w:numPr>
          <w:ilvl w:val="1"/>
          <w:numId w:val="13"/>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77777777" w:rsidR="00D6126C" w:rsidRDefault="00830EBB" w:rsidP="00D6126C">
      <w:pPr>
        <w:pStyle w:val="ListParagraph"/>
        <w:numPr>
          <w:ilvl w:val="1"/>
          <w:numId w:val="13"/>
        </w:numPr>
        <w:ind w:left="1080"/>
      </w:pPr>
      <w:r>
        <w:t xml:space="preserve">Procurement Forecast can still be turned in and should be submitted to: </w:t>
      </w:r>
      <w:hyperlink r:id="rId27" w:history="1">
        <w:r w:rsidR="00D6126C" w:rsidRPr="001C37C3">
          <w:rPr>
            <w:rStyle w:val="Hyperlink"/>
          </w:rPr>
          <w:t>compliance.gosba@maryland.gov</w:t>
        </w:r>
      </w:hyperlink>
    </w:p>
    <w:p w14:paraId="5A790FC3" w14:textId="77777777" w:rsidR="00756EB0" w:rsidRPr="00090998" w:rsidRDefault="00756EB0" w:rsidP="00090998">
      <w:pPr>
        <w:pStyle w:val="ListParagraph"/>
        <w:numPr>
          <w:ilvl w:val="0"/>
          <w:numId w:val="13"/>
        </w:numPr>
      </w:pPr>
      <w:r>
        <w:t>FY2021 MBE and SBR Strategic Planning – Due June 30</w:t>
      </w:r>
      <w:r w:rsidRPr="00756EB0">
        <w:rPr>
          <w:vertAlign w:val="superscript"/>
        </w:rPr>
        <w:t>th</w:t>
      </w:r>
      <w:r>
        <w:t xml:space="preserve"> </w:t>
      </w:r>
    </w:p>
    <w:p w14:paraId="715E9B55" w14:textId="77777777" w:rsidR="00090998" w:rsidRDefault="00090998" w:rsidP="00090998">
      <w:pPr>
        <w:pStyle w:val="ListParagraph"/>
        <w:numPr>
          <w:ilvl w:val="0"/>
          <w:numId w:val="14"/>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30EBB">
      <w:pPr>
        <w:pStyle w:val="ListParagraph"/>
        <w:numPr>
          <w:ilvl w:val="0"/>
          <w:numId w:val="14"/>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090998">
      <w:pPr>
        <w:pStyle w:val="ListParagraph"/>
        <w:numPr>
          <w:ilvl w:val="0"/>
          <w:numId w:val="14"/>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77777777" w:rsidR="00090998" w:rsidRDefault="00830EBB" w:rsidP="00090998">
      <w:pPr>
        <w:pStyle w:val="ListParagraph"/>
        <w:numPr>
          <w:ilvl w:val="1"/>
          <w:numId w:val="14"/>
        </w:numPr>
        <w:ind w:left="1440"/>
      </w:pPr>
      <w:r>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proofErr w:type="spellStart"/>
      <w:r w:rsidRPr="00830EBB">
        <w:rPr>
          <w:b/>
          <w:bCs/>
        </w:rPr>
        <w:t>GoTo</w:t>
      </w:r>
      <w:proofErr w:type="spellEnd"/>
      <w:r w:rsidRPr="00830EBB">
        <w:rPr>
          <w:b/>
          <w:bCs/>
        </w:rPr>
        <w:t xml:space="preserve"> Webinar.  </w:t>
      </w:r>
    </w:p>
    <w:p w14:paraId="7CE1FF48" w14:textId="77777777" w:rsidR="00756EB0" w:rsidRDefault="00756EB0" w:rsidP="00090998">
      <w:pPr>
        <w:pStyle w:val="ListParagraph"/>
        <w:numPr>
          <w:ilvl w:val="0"/>
          <w:numId w:val="15"/>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090998">
      <w:pPr>
        <w:pStyle w:val="ListParagraph"/>
        <w:numPr>
          <w:ilvl w:val="0"/>
          <w:numId w:val="12"/>
        </w:numPr>
      </w:pPr>
      <w:r>
        <w:t xml:space="preserve">New Annual Reporting templates are located in the </w:t>
      </w:r>
      <w:hyperlink r:id="rId28" w:history="1">
        <w:r w:rsidRPr="00090998">
          <w:rPr>
            <w:rStyle w:val="Hyperlink"/>
          </w:rPr>
          <w:t>MBE</w:t>
        </w:r>
      </w:hyperlink>
      <w:r>
        <w:t xml:space="preserve">, </w:t>
      </w:r>
      <w:hyperlink r:id="rId29" w:history="1">
        <w:r w:rsidRPr="00090998">
          <w:rPr>
            <w:rStyle w:val="Hyperlink"/>
          </w:rPr>
          <w:t>SBR</w:t>
        </w:r>
      </w:hyperlink>
      <w:r>
        <w:t xml:space="preserve">, &amp; </w:t>
      </w:r>
      <w:hyperlink r:id="rId30" w:history="1">
        <w:r w:rsidRPr="00090998">
          <w:rPr>
            <w:rStyle w:val="Hyperlink"/>
          </w:rPr>
          <w:t>VSBE</w:t>
        </w:r>
      </w:hyperlink>
      <w:r>
        <w:t xml:space="preserve"> Toolkits</w:t>
      </w:r>
    </w:p>
    <w:p w14:paraId="1F221A31" w14:textId="77777777" w:rsidR="00090998" w:rsidRPr="004E23F2" w:rsidRDefault="00090998" w:rsidP="00090998">
      <w:pPr>
        <w:pStyle w:val="ListParagraph"/>
        <w:numPr>
          <w:ilvl w:val="0"/>
          <w:numId w:val="16"/>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D6126C">
      <w:pPr>
        <w:pStyle w:val="ListParagraph"/>
        <w:numPr>
          <w:ilvl w:val="0"/>
          <w:numId w:val="16"/>
        </w:numPr>
        <w:rPr>
          <w:b/>
          <w:bCs/>
        </w:rPr>
      </w:pPr>
      <w:r w:rsidRPr="004E23F2">
        <w:t xml:space="preserve">Question asked after call: Do the VSBE reporting requirements apply to USM? </w:t>
      </w:r>
      <w:r w:rsidRPr="004E23F2">
        <w:rPr>
          <w:b/>
          <w:bCs/>
        </w:rPr>
        <w:t>ANSWER: Yes, the university system is exempt from VSBE reporting requirements.</w:t>
      </w:r>
    </w:p>
    <w:p w14:paraId="744C8CAC" w14:textId="77777777" w:rsidR="00D6126C" w:rsidRDefault="00D6126C" w:rsidP="00D6126C">
      <w:pPr>
        <w:pStyle w:val="ListParagraph"/>
        <w:numPr>
          <w:ilvl w:val="0"/>
          <w:numId w:val="16"/>
        </w:numPr>
        <w:rPr>
          <w:b/>
          <w:bCs/>
        </w:rPr>
      </w:pPr>
      <w:r w:rsidRPr="004E23F2">
        <w:t xml:space="preserve">Question asked during call: Can a formal notice go out to the Cabinet Secretary's which reminds them of the requirements? </w:t>
      </w:r>
      <w:r w:rsidRPr="004E23F2">
        <w:rPr>
          <w:b/>
          <w:bCs/>
        </w:rPr>
        <w:t>ANSWER: This can be considered but, in the meantime, you all are our portal into your agency.  Feel free to share the bulletin with anyone in your office who you believe should know the information sent out in our bulletins.</w:t>
      </w:r>
    </w:p>
    <w:p w14:paraId="32A0AFE8" w14:textId="3C5556CA" w:rsidR="008B7A72" w:rsidRPr="00A73335" w:rsidRDefault="008B7A72" w:rsidP="00A84959">
      <w:pPr>
        <w:pStyle w:val="Heading4"/>
        <w:rPr>
          <w:b/>
          <w:bCs/>
        </w:rPr>
      </w:pPr>
      <w:r w:rsidRPr="00A73335">
        <w:rPr>
          <w:b/>
          <w:bCs/>
        </w:rPr>
        <w:t>QUARTERLY REPORTING REQUIREMENTS *(1/7/2021)</w:t>
      </w:r>
    </w:p>
    <w:p w14:paraId="30EF57E7" w14:textId="685D9EE3" w:rsidR="008B7A72" w:rsidRPr="008B7A72" w:rsidRDefault="008B7A72" w:rsidP="008B7A72">
      <w:r>
        <w:t xml:space="preserve">Per </w:t>
      </w:r>
      <w:hyperlink r:id="rId31"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51755">
      <w:pPr>
        <w:pStyle w:val="ListParagraph"/>
        <w:numPr>
          <w:ilvl w:val="0"/>
          <w:numId w:val="29"/>
        </w:numPr>
      </w:pPr>
      <w:r>
        <w:t>SBR Quarterly Reports will not be required to have signatures at this time. Annual Reports will still need to be signed.</w:t>
      </w:r>
    </w:p>
    <w:p w14:paraId="7072557C" w14:textId="77777777" w:rsidR="00851755" w:rsidRPr="00851755" w:rsidRDefault="00851755" w:rsidP="00851755">
      <w:pPr>
        <w:pStyle w:val="ListParagraph"/>
        <w:numPr>
          <w:ilvl w:val="0"/>
          <w:numId w:val="29"/>
        </w:numPr>
      </w:pPr>
      <w:r>
        <w:t>At this time,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A84959">
      <w:pPr>
        <w:pStyle w:val="ListParagraph"/>
        <w:numPr>
          <w:ilvl w:val="0"/>
          <w:numId w:val="28"/>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2"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77777777" w:rsidR="00A84959" w:rsidRDefault="00A84959" w:rsidP="00A84959">
      <w:pPr>
        <w:pStyle w:val="ListParagraph"/>
        <w:numPr>
          <w:ilvl w:val="0"/>
          <w:numId w:val="28"/>
        </w:numPr>
      </w:pPr>
      <w:r>
        <w:t xml:space="preserve">SBR Report   </w:t>
      </w:r>
      <w:r>
        <w:tab/>
        <w:t>Award -  Preferred Providers Excluded       Yes</w:t>
      </w:r>
    </w:p>
    <w:p w14:paraId="5E532D6D" w14:textId="77777777" w:rsidR="00A84959" w:rsidRDefault="00A84959" w:rsidP="00A84959">
      <w:pPr>
        <w:ind w:left="1440" w:firstLine="720"/>
      </w:pPr>
      <w:r>
        <w:t>Payment - Preferred Providers Excluded    Yes</w:t>
      </w:r>
    </w:p>
    <w:p w14:paraId="38029B9E" w14:textId="77777777" w:rsidR="00A84959" w:rsidRDefault="00A84959" w:rsidP="00A84959">
      <w:pPr>
        <w:ind w:left="720"/>
      </w:pPr>
      <w:r>
        <w:t xml:space="preserve">Code of Maryland Regulations (COMAR) states that procurements made from Preference Providers under 21.11.05 and 21.11.09 are exempt from the </w:t>
      </w:r>
      <w:proofErr w:type="spellStart"/>
      <w:r>
        <w:t>Smal</w:t>
      </w:r>
      <w:proofErr w:type="spellEnd"/>
      <w:r>
        <w:t xml:space="preserve"> Business Reserve (SBR). Further, the Board of Public Works (BPW) Advisory 2005-1  excludes Preferred Providers from the procurement dollar base from which the 15 % SBR goal is calculated. We will be making sure that all report instructions are in agreement with current policies.</w:t>
      </w:r>
    </w:p>
    <w:p w14:paraId="5718E140" w14:textId="77777777" w:rsidR="00A84959" w:rsidRPr="00A84959" w:rsidRDefault="0015619B" w:rsidP="00A84959">
      <w:pPr>
        <w:ind w:left="720"/>
      </w:pPr>
      <w:hyperlink r:id="rId33"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4" w:tgtFrame="_blank" w:history="1">
        <w:r w:rsidR="00A84959" w:rsidRPr="00A84959">
          <w:rPr>
            <w:rFonts w:ascii="Calibri" w:hAnsi="Calibri" w:cs="Calibri"/>
            <w:color w:val="0000FF"/>
            <w:u w:val="single"/>
          </w:rPr>
          <w:br/>
        </w:r>
      </w:hyperlink>
      <w:hyperlink r:id="rId35" w:tgtFrame="_blank" w:history="1">
        <w:r w:rsidR="00A84959" w:rsidRPr="00A84959">
          <w:rPr>
            <w:rFonts w:ascii="Calibri" w:hAnsi="Calibri" w:cs="Calibri"/>
            <w:color w:val="0000FF"/>
            <w:u w:val="single"/>
          </w:rPr>
          <w:t>https://bpw.maryland.gov/Pages/adv-2005-1.asp</w:t>
        </w:r>
      </w:hyperlink>
      <w:r w:rsidR="00A84959" w:rsidRPr="00A84959">
        <w:rPr>
          <w:rFonts w:ascii="Calibri" w:hAnsi="Calibri" w:cs="Calibri"/>
          <w:color w:val="1155CC"/>
          <w:u w:val="single"/>
        </w:rPr>
        <w:t>x</w:t>
      </w:r>
    </w:p>
    <w:p w14:paraId="708640D2" w14:textId="77777777" w:rsidR="00756EB0" w:rsidRPr="00756EB0" w:rsidRDefault="008B1A30" w:rsidP="00756EB0">
      <w:pPr>
        <w:pStyle w:val="Heading3"/>
        <w:ind w:left="720"/>
      </w:pPr>
      <w:r>
        <w:t>Backup Data</w:t>
      </w:r>
    </w:p>
    <w:p w14:paraId="697199B2" w14:textId="77777777" w:rsidR="008B1A30" w:rsidRDefault="008B1A30" w:rsidP="00B91B28">
      <w:pPr>
        <w:pStyle w:val="Heading4"/>
      </w:pPr>
      <w:r w:rsidRPr="003629F1">
        <w:t>When collecting the data for the MBE reports in ANSWERS, am I to use the Create Date or the Invoice Date?</w:t>
      </w:r>
      <w:r>
        <w:t xml:space="preserve"> </w:t>
      </w:r>
      <w:r w:rsidRPr="003629F1">
        <w:t>*(3/25/2020)</w:t>
      </w:r>
      <w:r w:rsidRPr="003629F1">
        <w:tab/>
      </w:r>
    </w:p>
    <w:p w14:paraId="46222099" w14:textId="77777777" w:rsidR="008B1A30" w:rsidRPr="00A214D9" w:rsidRDefault="008B1A30" w:rsidP="008B1A30">
      <w:pPr>
        <w:pStyle w:val="ListParagraph"/>
        <w:numPr>
          <w:ilvl w:val="0"/>
          <w:numId w:val="3"/>
        </w:numPr>
      </w:pPr>
      <w:r w:rsidRPr="003629F1">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w:t>
      </w:r>
      <w:r>
        <w:t>nd the beginning and ending date</w:t>
      </w:r>
      <w:r w:rsidRPr="003629F1">
        <w:t xml:space="preserve"> will </w:t>
      </w:r>
      <w:r>
        <w:t xml:space="preserve">be </w:t>
      </w:r>
      <w:r w:rsidRPr="003629F1">
        <w:t>the beginning and ending dates of the Fiscal Year. Not all reports use the same column name and reports outside of ANSWERS may use different column headings as well.</w:t>
      </w:r>
    </w:p>
    <w:p w14:paraId="26496CBE" w14:textId="77777777" w:rsidR="00851755" w:rsidRDefault="00851755" w:rsidP="00283F11">
      <w:pPr>
        <w:pStyle w:val="Heading2"/>
        <w:rPr>
          <w:b/>
          <w:bCs/>
        </w:rPr>
      </w:pPr>
      <w:r>
        <w:rPr>
          <w:b/>
          <w:bCs/>
        </w:rPr>
        <w:t xml:space="preserve">SBR Program </w:t>
      </w:r>
      <w:bookmarkStart w:id="0" w:name="_Hlk61961922"/>
      <w:r w:rsidRPr="00756EB0">
        <w:rPr>
          <w:b/>
          <w:color w:val="FF0000"/>
        </w:rPr>
        <w:t>(**NEW Information)</w:t>
      </w:r>
      <w:bookmarkEnd w:id="0"/>
    </w:p>
    <w:p w14:paraId="69DD82B9" w14:textId="77777777" w:rsidR="00851755" w:rsidRDefault="00851755" w:rsidP="00851755">
      <w:pPr>
        <w:pStyle w:val="Heading3"/>
        <w:ind w:left="720"/>
      </w:pPr>
      <w:bookmarkStart w:id="1" w:name="_Hlk67333712"/>
      <w:r>
        <w:t>Designating Contracts SBR</w:t>
      </w:r>
    </w:p>
    <w:bookmarkEnd w:id="1"/>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2" w:name="_Hlk61961629"/>
      <w:r>
        <w:t>*(1/7/2021)</w:t>
      </w:r>
    </w:p>
    <w:bookmarkEnd w:id="2"/>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36"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6092F85E" w:rsidR="006E28CD" w:rsidRDefault="006E28CD" w:rsidP="006E28CD">
      <w:pPr>
        <w:pStyle w:val="Heading4"/>
      </w:pPr>
      <w:r w:rsidRPr="006E28CD">
        <w:t>Is there a standard amount of time, based on COMAR, that bidders/offerors should be given to obtain their SBR certification?</w:t>
      </w:r>
    </w:p>
    <w:p w14:paraId="014F2849" w14:textId="7300641E" w:rsidR="006E28CD" w:rsidRDefault="006E28CD" w:rsidP="006E28CD">
      <w:pPr>
        <w:pStyle w:val="ListParagraph"/>
        <w:numPr>
          <w:ilvl w:val="0"/>
          <w:numId w:val="31"/>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However, as the procurement officer, there is nothing to say a "reasonable amount of time" is 14 days, three weeks, or a month.  </w:t>
      </w:r>
      <w:r w:rsidR="00175239" w:rsidRPr="006E28CD">
        <w:t>You have</w:t>
      </w:r>
      <w:r w:rsidRPr="006E28CD">
        <w:t xml:space="preserve"> made a determination of lowest responsive bid or best value for the State, so it is reasonable to allow </w:t>
      </w:r>
      <w:r w:rsidRPr="006E28CD">
        <w:lastRenderedPageBreak/>
        <w:t>time to keep that contract moving forward with that vendor, but it shouldn't hold up the contract award.  The procurement officer has the ability to reject their bid/proposal because the bidder/offeror is determined to be "not responsible" due to not timely submitting documentation required.</w:t>
      </w:r>
    </w:p>
    <w:p w14:paraId="4E96A3C2" w14:textId="77777777" w:rsidR="006E28CD" w:rsidRPr="006E28CD" w:rsidRDefault="006E28CD" w:rsidP="006E28CD">
      <w:pPr>
        <w:pStyle w:val="ListParagraph"/>
      </w:pPr>
    </w:p>
    <w:p w14:paraId="27C89FF5" w14:textId="630CAA39" w:rsidR="006E28CD" w:rsidRDefault="006E28CD" w:rsidP="006E28CD">
      <w:pPr>
        <w:pStyle w:val="Heading4"/>
      </w:pPr>
      <w:r w:rsidRPr="006E28CD">
        <w:t>If an apparent awardee was notified to obtain Small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1D78BD30" w:rsidR="006E28CD" w:rsidRPr="006E28CD" w:rsidRDefault="0094059A" w:rsidP="0094059A">
      <w:pPr>
        <w:pStyle w:val="ListParagraph"/>
        <w:numPr>
          <w:ilvl w:val="0"/>
          <w:numId w:val="32"/>
        </w:numPr>
      </w:pPr>
      <w:r w:rsidRPr="0094059A">
        <w:t xml:space="preserve">The bidder/offeror must be a certified small business at the time of award.  If the recommended awardee is unable to obtain their certification in the reasonable time provided, the bidder/offeror may be determined to be not </w:t>
      </w:r>
      <w:r w:rsidRPr="0094059A">
        <w:t>responsible,</w:t>
      </w:r>
      <w:r w:rsidRPr="0094059A">
        <w:t xml:space="preserve"> and their bid/proposal rejected.  The procurement officer can then move onto the next bid/proposal for award.  The bidder/offeror may protest; however, the protest would be denied based upon them not being certified at the time of contract award.</w:t>
      </w: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6F056E2D" w:rsidR="00175239" w:rsidRDefault="00175239" w:rsidP="00175239">
      <w:pPr>
        <w:pStyle w:val="ListParagraph"/>
        <w:numPr>
          <w:ilvl w:val="0"/>
          <w:numId w:val="33"/>
        </w:numPr>
      </w:pPr>
      <w:r>
        <w:t xml:space="preserve">If your submission meets the prescribed exemptions already listed on the PRG form, you do not need to seek approval by the Governor's Office of Small, Minority &amp; Women Business Affairs.; simply submit your worksheet, make sure you and finish your </w:t>
      </w:r>
      <w:r>
        <w:t>solicitation.</w:t>
      </w:r>
    </w:p>
    <w:p w14:paraId="035B9E4A" w14:textId="7C4774B5" w:rsidR="00175239" w:rsidRPr="00175239" w:rsidRDefault="00175239" w:rsidP="00175239">
      <w:pPr>
        <w:pStyle w:val="ListParagraph"/>
        <w:numPr>
          <w:ilvl w:val="0"/>
          <w:numId w:val="33"/>
        </w:numPr>
      </w:pPr>
      <w:r>
        <w:t>If your waiver submission is marked other, that is the type of waiver that will need to be reviewed and approved.</w:t>
      </w:r>
    </w:p>
    <w:p w14:paraId="63EB6EF5" w14:textId="274EFDFE"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77777777" w:rsidR="006E28CD" w:rsidRPr="006E28CD" w:rsidRDefault="006E28CD" w:rsidP="006E28CD"/>
    <w:p w14:paraId="5DA9E528" w14:textId="4631CEA6" w:rsidR="00175239" w:rsidRDefault="00175239" w:rsidP="006E28CD">
      <w:pPr>
        <w:pStyle w:val="Heading4"/>
      </w:pPr>
      <w:r w:rsidRPr="00175239">
        <w:t>Are we required to complete the new PRG form for solicitations signed before 2/1/2021 but not sent to OSP for review? The issue is not completing the worksheet but conducting the search of the directories and scrubbing the results</w:t>
      </w:r>
      <w:r>
        <w:t>? *(3/11/2021)</w:t>
      </w:r>
    </w:p>
    <w:p w14:paraId="778ACA03" w14:textId="1E37B665" w:rsidR="00175239" w:rsidRDefault="00175239" w:rsidP="00175239">
      <w:pPr>
        <w:pStyle w:val="ListParagraph"/>
        <w:numPr>
          <w:ilvl w:val="0"/>
          <w:numId w:val="35"/>
        </w:numPr>
      </w:pPr>
      <w:r>
        <w:t xml:space="preserve">If you have already conducted your research and have all of the documentation of that your search </w:t>
      </w:r>
      <w:r>
        <w:t>included</w:t>
      </w:r>
      <w:r>
        <w:t xml:space="preserve"> utilizing other databases and resources, then you do not have to complete this research again.  If you only searched </w:t>
      </w:r>
      <w:proofErr w:type="spellStart"/>
      <w:r>
        <w:t>eMMA</w:t>
      </w:r>
      <w:proofErr w:type="spellEnd"/>
      <w:r>
        <w:t xml:space="preserve"> for small businesses, you will need to expand your search and update your documentation, especially if it looks like the solicitation will NOT be designated SBR.</w:t>
      </w:r>
    </w:p>
    <w:p w14:paraId="2274D538" w14:textId="77777777" w:rsidR="00175239" w:rsidRDefault="00175239" w:rsidP="00175239"/>
    <w:p w14:paraId="3AA4BB67" w14:textId="7853CDB8" w:rsidR="00175239" w:rsidRDefault="00175239" w:rsidP="006E28CD">
      <w:pPr>
        <w:pStyle w:val="Heading4"/>
      </w:pPr>
      <w:r w:rsidRPr="00175239">
        <w:t>Are we required to use the new OSP/GOSBA PRG form if the agency’s current PRG meets the SBR/VSBE &amp; MBE requirements?</w:t>
      </w:r>
      <w:r>
        <w:t xml:space="preserve"> *(3/11/2021)</w:t>
      </w:r>
    </w:p>
    <w:p w14:paraId="60CC62CD" w14:textId="77777777" w:rsidR="00175239" w:rsidRPr="00175239" w:rsidRDefault="00175239" w:rsidP="00175239">
      <w:pPr>
        <w:pStyle w:val="ListParagraph"/>
        <w:numPr>
          <w:ilvl w:val="0"/>
          <w:numId w:val="34"/>
        </w:numPr>
      </w:pPr>
      <w:r>
        <w:t>You may use your form as long as it aligns with the PROCUREMENT REVIEW GROUP: Guidance and Worksheets that includes the new information in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lastRenderedPageBreak/>
        <w:t>GOSBA discussed the new Executive Order concerning SBR designations.</w:t>
      </w:r>
      <w:r w:rsidR="008B7A72">
        <w:t xml:space="preserve"> *(1/7/2021)</w:t>
      </w:r>
    </w:p>
    <w:p w14:paraId="505B0639" w14:textId="67476F91" w:rsidR="001450FF" w:rsidRPr="001450FF" w:rsidRDefault="001450FF" w:rsidP="008B7A72">
      <w:pPr>
        <w:pStyle w:val="ListParagraph"/>
        <w:numPr>
          <w:ilvl w:val="0"/>
          <w:numId w:val="3"/>
        </w:numPr>
      </w:pPr>
      <w:r>
        <w:t xml:space="preserve">The </w:t>
      </w:r>
      <w:r w:rsidRPr="001450FF">
        <w:t>Governor issued Executive Order 01.01.2021.01</w:t>
      </w:r>
      <w:r w:rsidR="008B7A72">
        <w:t xml:space="preserve">, </w:t>
      </w:r>
      <w:r w:rsidRPr="001450FF">
        <w:t xml:space="preserve"> Increasing Small-Business Participation in State Procurements</w:t>
      </w:r>
      <w:r w:rsidR="008B7A72">
        <w:t xml:space="preserve">.  New guidelines will be issued during the January SPAG Meeting.  Click the link to view the Executive Order: </w:t>
      </w:r>
      <w:hyperlink r:id="rId37"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There should be at least three Small Business Reserve (SBR) firms in order to designate a procurement SBR only. This is the same across all three programs, SBR, MBE and VSBE.</w:t>
      </w:r>
    </w:p>
    <w:p w14:paraId="04F9ED26" w14:textId="77777777" w:rsidR="004B6113" w:rsidRDefault="00283F11" w:rsidP="00283F11">
      <w:pPr>
        <w:pStyle w:val="Heading2"/>
        <w:rPr>
          <w:b/>
          <w:color w:val="FF0000"/>
        </w:rPr>
      </w:pPr>
      <w:r w:rsidRPr="00283F11">
        <w:rPr>
          <w:b/>
          <w:bCs/>
        </w:rPr>
        <w:t>VSBE Program</w:t>
      </w:r>
      <w:r>
        <w:rPr>
          <w:b/>
          <w:bCs/>
        </w:rPr>
        <w:t xml:space="preserve"> </w:t>
      </w:r>
    </w:p>
    <w:p w14:paraId="030B7239" w14:textId="77777777" w:rsidR="00283F11" w:rsidRDefault="00283F11" w:rsidP="00283F11">
      <w:pPr>
        <w:pStyle w:val="Heading3"/>
        <w:ind w:left="720"/>
      </w:pPr>
      <w:r>
        <w:t>Reporting</w:t>
      </w:r>
    </w:p>
    <w:p w14:paraId="692996A6" w14:textId="77777777" w:rsidR="00283F11" w:rsidRDefault="00283F11" w:rsidP="00283F11">
      <w:pPr>
        <w:pStyle w:val="Heading4"/>
      </w:pPr>
      <w:r>
        <w:t>Who Reports VSBE Data? *(9/9/2020)</w:t>
      </w:r>
    </w:p>
    <w:p w14:paraId="7B854302" w14:textId="77777777" w:rsidR="00AD559E" w:rsidRDefault="00283F11" w:rsidP="00283F11">
      <w:pPr>
        <w:pStyle w:val="NoSpacing"/>
        <w:numPr>
          <w:ilvl w:val="0"/>
          <w:numId w:val="3"/>
        </w:numPr>
      </w:pPr>
      <w:r w:rsidRPr="00283F11">
        <w:t>There is no official designation of an VSBE Liaison.  Our office has strongly suggested that VSBE reports be prepared and submitted via the MBE Liaison.  This is because both programs are attainment goal programs and require the reporting of an agency's total procurement awards (contract / DV / CC) and then separately require program specific data.  The SBR programs used a different measure of reporting.</w:t>
      </w:r>
    </w:p>
    <w:p w14:paraId="4268995D" w14:textId="77777777" w:rsidR="00283F11" w:rsidRDefault="00283F11" w:rsidP="00AD559E">
      <w:pPr>
        <w:pStyle w:val="Heading3"/>
        <w:ind w:firstLine="720"/>
      </w:pPr>
      <w:r>
        <w:t>Waivers</w:t>
      </w:r>
    </w:p>
    <w:p w14:paraId="41D06585" w14:textId="77777777" w:rsidR="00283F11" w:rsidRDefault="00283F11" w:rsidP="00283F11">
      <w:pPr>
        <w:pStyle w:val="Heading4"/>
      </w:pPr>
      <w:r>
        <w:t>MBE / VSBE Waivers and Supporting Documentation *(9/9/2020)</w:t>
      </w:r>
    </w:p>
    <w:p w14:paraId="72D365E5" w14:textId="77777777" w:rsidR="00283F11" w:rsidRPr="00283F11" w:rsidRDefault="00283F11" w:rsidP="00283F11">
      <w:pPr>
        <w:pStyle w:val="NoSpacing"/>
        <w:numPr>
          <w:ilvl w:val="0"/>
          <w:numId w:val="3"/>
        </w:numPr>
      </w:pPr>
      <w:r>
        <w:t xml:space="preserve">**See this topic under the MBE </w:t>
      </w:r>
      <w:r w:rsidR="000A42D4">
        <w:t xml:space="preserve">Forms - </w:t>
      </w:r>
      <w:r>
        <w:t>Reporting section</w:t>
      </w:r>
    </w:p>
    <w:sectPr w:rsidR="00283F11" w:rsidRPr="00283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A3C"/>
    <w:multiLevelType w:val="hybridMultilevel"/>
    <w:tmpl w:val="4D4853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60943"/>
    <w:multiLevelType w:val="hybridMultilevel"/>
    <w:tmpl w:val="3AE6EF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D0638"/>
    <w:multiLevelType w:val="hybridMultilevel"/>
    <w:tmpl w:val="751E8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70445A"/>
    <w:multiLevelType w:val="hybridMultilevel"/>
    <w:tmpl w:val="F9A61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955D9"/>
    <w:multiLevelType w:val="hybridMultilevel"/>
    <w:tmpl w:val="38D6E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923D8"/>
    <w:multiLevelType w:val="hybridMultilevel"/>
    <w:tmpl w:val="C2246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F49F9"/>
    <w:multiLevelType w:val="hybridMultilevel"/>
    <w:tmpl w:val="F4B4419A"/>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06AF4"/>
    <w:multiLevelType w:val="hybridMultilevel"/>
    <w:tmpl w:val="A9247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BC7285"/>
    <w:multiLevelType w:val="hybridMultilevel"/>
    <w:tmpl w:val="373C5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A4A7E"/>
    <w:multiLevelType w:val="hybridMultilevel"/>
    <w:tmpl w:val="2350FC72"/>
    <w:lvl w:ilvl="0" w:tplc="0409000F">
      <w:start w:val="1"/>
      <w:numFmt w:val="decimal"/>
      <w:lvlText w:val="%1."/>
      <w:lvlJc w:val="left"/>
      <w:pPr>
        <w:ind w:left="1080" w:hanging="360"/>
      </w:pPr>
      <w:rPr>
        <w:rFonts w:hint="default"/>
      </w:rPr>
    </w:lvl>
    <w:lvl w:ilvl="1" w:tplc="AFB6757C">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8D27A6"/>
    <w:multiLevelType w:val="hybridMultilevel"/>
    <w:tmpl w:val="65F278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F35D3"/>
    <w:multiLevelType w:val="hybridMultilevel"/>
    <w:tmpl w:val="44865330"/>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51612"/>
    <w:multiLevelType w:val="hybridMultilevel"/>
    <w:tmpl w:val="555AD5D2"/>
    <w:lvl w:ilvl="0" w:tplc="AFB675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E36AD"/>
    <w:multiLevelType w:val="hybridMultilevel"/>
    <w:tmpl w:val="6BC01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8"/>
  </w:num>
  <w:num w:numId="4">
    <w:abstractNumId w:val="33"/>
  </w:num>
  <w:num w:numId="5">
    <w:abstractNumId w:val="12"/>
  </w:num>
  <w:num w:numId="6">
    <w:abstractNumId w:val="19"/>
  </w:num>
  <w:num w:numId="7">
    <w:abstractNumId w:val="31"/>
  </w:num>
  <w:num w:numId="8">
    <w:abstractNumId w:val="11"/>
  </w:num>
  <w:num w:numId="9">
    <w:abstractNumId w:val="29"/>
  </w:num>
  <w:num w:numId="10">
    <w:abstractNumId w:val="27"/>
  </w:num>
  <w:num w:numId="11">
    <w:abstractNumId w:val="21"/>
  </w:num>
  <w:num w:numId="12">
    <w:abstractNumId w:val="16"/>
  </w:num>
  <w:num w:numId="13">
    <w:abstractNumId w:val="13"/>
  </w:num>
  <w:num w:numId="14">
    <w:abstractNumId w:val="17"/>
  </w:num>
  <w:num w:numId="15">
    <w:abstractNumId w:val="15"/>
  </w:num>
  <w:num w:numId="16">
    <w:abstractNumId w:val="1"/>
  </w:num>
  <w:num w:numId="17">
    <w:abstractNumId w:val="22"/>
  </w:num>
  <w:num w:numId="18">
    <w:abstractNumId w:val="6"/>
  </w:num>
  <w:num w:numId="19">
    <w:abstractNumId w:val="2"/>
  </w:num>
  <w:num w:numId="20">
    <w:abstractNumId w:val="0"/>
  </w:num>
  <w:num w:numId="21">
    <w:abstractNumId w:val="4"/>
  </w:num>
  <w:num w:numId="22">
    <w:abstractNumId w:val="23"/>
  </w:num>
  <w:num w:numId="23">
    <w:abstractNumId w:val="20"/>
  </w:num>
  <w:num w:numId="24">
    <w:abstractNumId w:val="10"/>
  </w:num>
  <w:num w:numId="25">
    <w:abstractNumId w:val="7"/>
  </w:num>
  <w:num w:numId="26">
    <w:abstractNumId w:val="26"/>
  </w:num>
  <w:num w:numId="27">
    <w:abstractNumId w:val="28"/>
  </w:num>
  <w:num w:numId="28">
    <w:abstractNumId w:val="32"/>
  </w:num>
  <w:num w:numId="29">
    <w:abstractNumId w:val="25"/>
  </w:num>
  <w:num w:numId="30">
    <w:abstractNumId w:val="14"/>
  </w:num>
  <w:num w:numId="31">
    <w:abstractNumId w:val="18"/>
  </w:num>
  <w:num w:numId="32">
    <w:abstractNumId w:val="5"/>
  </w:num>
  <w:num w:numId="33">
    <w:abstractNumId w:val="24"/>
  </w:num>
  <w:num w:numId="34">
    <w:abstractNumId w:val="3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34152"/>
    <w:rsid w:val="000366D6"/>
    <w:rsid w:val="00081B3C"/>
    <w:rsid w:val="00090998"/>
    <w:rsid w:val="000A1323"/>
    <w:rsid w:val="000A42D4"/>
    <w:rsid w:val="000C0A62"/>
    <w:rsid w:val="000F6B80"/>
    <w:rsid w:val="00111202"/>
    <w:rsid w:val="001450FF"/>
    <w:rsid w:val="0015619B"/>
    <w:rsid w:val="00161588"/>
    <w:rsid w:val="00174530"/>
    <w:rsid w:val="00175239"/>
    <w:rsid w:val="001A21DD"/>
    <w:rsid w:val="001C70EB"/>
    <w:rsid w:val="001E22AC"/>
    <w:rsid w:val="00211F08"/>
    <w:rsid w:val="00265558"/>
    <w:rsid w:val="00283F11"/>
    <w:rsid w:val="003A3EBE"/>
    <w:rsid w:val="00412697"/>
    <w:rsid w:val="00464F02"/>
    <w:rsid w:val="00474E67"/>
    <w:rsid w:val="004B41C0"/>
    <w:rsid w:val="004B6113"/>
    <w:rsid w:val="004E23F2"/>
    <w:rsid w:val="00504BEF"/>
    <w:rsid w:val="005C022B"/>
    <w:rsid w:val="005C1093"/>
    <w:rsid w:val="006741E8"/>
    <w:rsid w:val="006E28CD"/>
    <w:rsid w:val="00726EA6"/>
    <w:rsid w:val="00756EB0"/>
    <w:rsid w:val="00794B3E"/>
    <w:rsid w:val="008038EC"/>
    <w:rsid w:val="00830EBB"/>
    <w:rsid w:val="00851755"/>
    <w:rsid w:val="008B1A30"/>
    <w:rsid w:val="008B7A72"/>
    <w:rsid w:val="00902D06"/>
    <w:rsid w:val="00924F6A"/>
    <w:rsid w:val="0094059A"/>
    <w:rsid w:val="009723E5"/>
    <w:rsid w:val="00986FE6"/>
    <w:rsid w:val="00993C9F"/>
    <w:rsid w:val="009F4964"/>
    <w:rsid w:val="00A028C4"/>
    <w:rsid w:val="00A21011"/>
    <w:rsid w:val="00A47530"/>
    <w:rsid w:val="00A6000B"/>
    <w:rsid w:val="00A73335"/>
    <w:rsid w:val="00A83463"/>
    <w:rsid w:val="00A84959"/>
    <w:rsid w:val="00AD559E"/>
    <w:rsid w:val="00B2792A"/>
    <w:rsid w:val="00B5548F"/>
    <w:rsid w:val="00B902B9"/>
    <w:rsid w:val="00BA6629"/>
    <w:rsid w:val="00CA3801"/>
    <w:rsid w:val="00CB577E"/>
    <w:rsid w:val="00D435CF"/>
    <w:rsid w:val="00D6126C"/>
    <w:rsid w:val="00D76ACD"/>
    <w:rsid w:val="00DC510B"/>
    <w:rsid w:val="00DE36F2"/>
    <w:rsid w:val="00EA7229"/>
    <w:rsid w:val="00EE7892"/>
    <w:rsid w:val="00F20A36"/>
    <w:rsid w:val="00FB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0.png"/><Relationship Id="rId18" Type="http://schemas.openxmlformats.org/officeDocument/2006/relationships/hyperlink" Target="https://procurement.maryland.gov/mpm-3-pre-solicitation/" TargetMode="External"/><Relationship Id="rId26" Type="http://schemas.openxmlformats.org/officeDocument/2006/relationships/hyperlink" Target="https://procurement.maryland.gov/wp-content/uploads/sites/12/2019/12/16-eMMA-QRG-Public-Vendor-Search-for-Buyers.pdf" TargetMode="External"/><Relationship Id="rId39" Type="http://schemas.openxmlformats.org/officeDocument/2006/relationships/theme" Target="theme/theme1.xml"/><Relationship Id="rId21" Type="http://schemas.openxmlformats.org/officeDocument/2006/relationships/hyperlink" Target="https://gomdsmallbiz.maryland.gov/Documents/MBE_Toolkit/Sample%20PRG%20Template%20in%20Word.doc" TargetMode="External"/><Relationship Id="rId34" Type="http://schemas.openxmlformats.org/officeDocument/2006/relationships/hyperlink" Target="https://bpw.maryland.gov/Pages/adv-2005-1.aspx" TargetMode="External"/><Relationship Id="rId7" Type="http://schemas.openxmlformats.org/officeDocument/2006/relationships/webSettings" Target="webSettings.xml"/><Relationship Id="rId12" Type="http://schemas.openxmlformats.org/officeDocument/2006/relationships/image" Target="media/image30.png"/><Relationship Id="rId17" Type="http://schemas.openxmlformats.org/officeDocument/2006/relationships/hyperlink" Target="https://doit.maryland.gov/contracts/Pages/CATSPlusMBEParticipation.aspx" TargetMode="External"/><Relationship Id="rId25" Type="http://schemas.openxmlformats.org/officeDocument/2006/relationships/hyperlink" Target="https://mbe.mdot.maryland.gov/directory/" TargetMode="External"/><Relationship Id="rId33" Type="http://schemas.openxmlformats.org/officeDocument/2006/relationships/hyperlink" Target="http://www.dsd.state.md.us/comar/comarhtml/21/21.11.01.06.ht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gomdsmallbiz.maryland.gov/Documents/Legislation/SubgoalGuidanceImplementationGuidelinesFinal-website_000.pdf" TargetMode="External"/><Relationship Id="rId29" Type="http://schemas.openxmlformats.org/officeDocument/2006/relationships/hyperlink" Target="https://gomdsmallbiz.maryland.gov/Pages/Reporting-Tool-SBR.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procurement.maryland.gov/wp-content/uploads/sites/12/2020/06/PP-Procurement-Review-Group-PRG-v3-6-22-2020.pdf" TargetMode="External"/><Relationship Id="rId32" Type="http://schemas.openxmlformats.org/officeDocument/2006/relationships/hyperlink" Target="http://mgaleg.maryland.gov/2013RS/fnotes/bil_0008/hb0048.pdf" TargetMode="External"/><Relationship Id="rId37" Type="http://schemas.openxmlformats.org/officeDocument/2006/relationships/hyperlink" Target="https://governor.maryland.gov/ltgovernor/wp-content/uploads/sites/2/2021/01/EO_01.01.2021.01.pdf"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procurement.maryland.gov/prg-forms/" TargetMode="External"/><Relationship Id="rId28" Type="http://schemas.openxmlformats.org/officeDocument/2006/relationships/hyperlink" Target="https://gomdsmallbiz.maryland.gov/Pages/Reporting-Tool-MBE.aspx" TargetMode="External"/><Relationship Id="rId36" Type="http://schemas.openxmlformats.org/officeDocument/2006/relationships/hyperlink" Target="https://gomdsmallbiz.maryland.gov/Documents/SBR_Toolkit/SBR_Statewide_Procurements_V.11.16.2020.pdf" TargetMode="External"/><Relationship Id="rId10" Type="http://schemas.openxmlformats.org/officeDocument/2006/relationships/image" Target="media/image3.png"/><Relationship Id="rId19" Type="http://schemas.openxmlformats.org/officeDocument/2006/relationships/hyperlink" Target="https://bpw.maryland.gov/Pages/adv-2001-1.aspx" TargetMode="External"/><Relationship Id="rId31" Type="http://schemas.openxmlformats.org/officeDocument/2006/relationships/hyperlink" Target="http://www.dsd.state.md.us/comar/comarhtml/21/21.11.03.17.ht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bpw.maryland.gov/Pages/adv-2001-1.aspx" TargetMode="External"/><Relationship Id="rId27" Type="http://schemas.openxmlformats.org/officeDocument/2006/relationships/hyperlink" Target="mailto:compliance.gosba@maryland.gov" TargetMode="External"/><Relationship Id="rId30" Type="http://schemas.openxmlformats.org/officeDocument/2006/relationships/hyperlink" Target="https://gomdsmallbiz.maryland.gov/Pages/Reporting-Tool-VSBE.aspx" TargetMode="External"/><Relationship Id="rId35" Type="http://schemas.openxmlformats.org/officeDocument/2006/relationships/hyperlink" Target="https://bpw.maryland.gov/Pages/adv-2005-1.aspx"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B2E5E-A09A-4CA0-9225-00A3E2E7886C}"/>
</file>

<file path=customXml/itemProps2.xml><?xml version="1.0" encoding="utf-8"?>
<ds:datastoreItem xmlns:ds="http://schemas.openxmlformats.org/officeDocument/2006/customXml" ds:itemID="{E59BCE27-648D-402C-B06F-493E2B46211F}"/>
</file>

<file path=customXml/itemProps3.xml><?xml version="1.0" encoding="utf-8"?>
<ds:datastoreItem xmlns:ds="http://schemas.openxmlformats.org/officeDocument/2006/customXml" ds:itemID="{D4807535-DDFB-4813-9213-FA2B31A7A096}"/>
</file>

<file path=docProps/app.xml><?xml version="1.0" encoding="utf-8"?>
<Properties xmlns="http://schemas.openxmlformats.org/officeDocument/2006/extended-properties" xmlns:vt="http://schemas.openxmlformats.org/officeDocument/2006/docPropsVTypes">
  <Template>Normal</Template>
  <TotalTime>498</TotalTime>
  <Pages>3</Pages>
  <Words>4703</Words>
  <Characters>26809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Windows User</dc:creator>
  <cp:keywords/>
  <dc:description/>
  <cp:lastModifiedBy>Nichelle Johnson</cp:lastModifiedBy>
  <cp:revision>3</cp:revision>
  <dcterms:created xsi:type="dcterms:W3CDTF">2021-03-19T20:21:00Z</dcterms:created>
  <dcterms:modified xsi:type="dcterms:W3CDTF">2021-03-22T23:55:00Z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